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F379C" w14:textId="154E93BD" w:rsidR="00751B69" w:rsidRPr="00CE12B3" w:rsidRDefault="005D5F7C" w:rsidP="005D5F7C">
      <w:pPr>
        <w:ind w:left="5220"/>
        <w:jc w:val="both"/>
      </w:pPr>
      <w:r w:rsidRPr="00CE12B3">
        <w:t>IN THE CIRCUIT COURT OF THE EIGHTEENTH JUDICIAL CIRCUIT, IN AND FOR BREVARD COUNTY, FLORIDA</w:t>
      </w:r>
    </w:p>
    <w:p w14:paraId="554058FB" w14:textId="77777777" w:rsidR="005D5F7C" w:rsidRPr="00CE12B3" w:rsidRDefault="005D5F7C" w:rsidP="00751B69">
      <w:pPr>
        <w:ind w:left="5040"/>
        <w:jc w:val="both"/>
      </w:pPr>
    </w:p>
    <w:p w14:paraId="38B51930" w14:textId="1F1BA946" w:rsidR="00751B69" w:rsidRPr="00CE12B3" w:rsidRDefault="003A2C51" w:rsidP="005D5F7C">
      <w:pPr>
        <w:ind w:left="5220"/>
        <w:jc w:val="both"/>
      </w:pPr>
      <w:r>
        <w:t>DIVISION</w:t>
      </w:r>
      <w:r w:rsidR="00751B69" w:rsidRPr="00CE12B3">
        <w:t xml:space="preserve">:  </w:t>
      </w:r>
      <w:r w:rsidR="00BA1445">
        <w:t>L</w:t>
      </w:r>
    </w:p>
    <w:p w14:paraId="16942526" w14:textId="77777777" w:rsidR="00751B69" w:rsidRPr="00CE12B3" w:rsidRDefault="00751B69" w:rsidP="00751B69">
      <w:pPr>
        <w:ind w:left="5040"/>
        <w:jc w:val="both"/>
      </w:pPr>
    </w:p>
    <w:p w14:paraId="613E9FE8" w14:textId="77777777" w:rsidR="00747B6C" w:rsidRDefault="00747B6C" w:rsidP="00747B6C">
      <w:pPr>
        <w:jc w:val="both"/>
      </w:pPr>
    </w:p>
    <w:p w14:paraId="63D03283" w14:textId="537AD3FA" w:rsidR="00747B6C" w:rsidRPr="00CE12B3" w:rsidRDefault="001171C5" w:rsidP="00747B6C">
      <w:pPr>
        <w:jc w:val="both"/>
        <w:rPr>
          <w:b/>
          <w:bCs/>
        </w:rPr>
      </w:pPr>
      <w:r>
        <w:t>IN RE: ALL PENDING CIVIL CASES</w:t>
      </w:r>
      <w:r w:rsidR="00747B6C">
        <w:t xml:space="preserve"> ASSIGNED TO DIVISION </w:t>
      </w:r>
      <w:r w:rsidR="00BA1445">
        <w:t>L</w:t>
      </w:r>
    </w:p>
    <w:p w14:paraId="29B82A3F" w14:textId="5EF7BA17" w:rsidR="00751B69" w:rsidRPr="00CE12B3" w:rsidRDefault="00751B69" w:rsidP="00751B69">
      <w:pPr>
        <w:ind w:firstLine="720"/>
        <w:jc w:val="both"/>
        <w:rPr>
          <w:b/>
          <w:bCs/>
        </w:rPr>
      </w:pPr>
    </w:p>
    <w:p w14:paraId="1939865C" w14:textId="77777777" w:rsidR="00751B69" w:rsidRPr="00CE12B3" w:rsidRDefault="00751B69" w:rsidP="00751B69">
      <w:pPr>
        <w:jc w:val="both"/>
        <w:rPr>
          <w:b/>
          <w:bCs/>
          <w:u w:val="single"/>
        </w:rPr>
      </w:pPr>
      <w:r w:rsidRPr="00CE12B3">
        <w:t>_______________________/</w:t>
      </w:r>
    </w:p>
    <w:p w14:paraId="4EE4383C" w14:textId="77777777" w:rsidR="00E537B2" w:rsidRPr="00CE12B3" w:rsidRDefault="00E537B2"/>
    <w:p w14:paraId="244E3435" w14:textId="77777777" w:rsidR="00A1612D" w:rsidRPr="00CE12B3" w:rsidRDefault="00A1612D" w:rsidP="00A1612D">
      <w:pPr>
        <w:jc w:val="center"/>
        <w:rPr>
          <w:b/>
          <w:bCs/>
          <w:u w:val="single"/>
        </w:rPr>
      </w:pPr>
      <w:r w:rsidRPr="00CE12B3">
        <w:rPr>
          <w:b/>
          <w:bCs/>
          <w:u w:val="single"/>
        </w:rPr>
        <w:t>ORDER RE: CLOSING ARGUMENT (CIVIL)</w:t>
      </w:r>
    </w:p>
    <w:p w14:paraId="6735A9FF" w14:textId="77777777" w:rsidR="00A1612D" w:rsidRPr="00CE12B3" w:rsidRDefault="00A1612D" w:rsidP="00A1612D">
      <w:pPr>
        <w:jc w:val="center"/>
        <w:rPr>
          <w:b/>
          <w:bCs/>
          <w:u w:val="single"/>
        </w:rPr>
      </w:pPr>
    </w:p>
    <w:p w14:paraId="10C78630" w14:textId="77777777" w:rsidR="00A1612D" w:rsidRPr="00CE12B3" w:rsidRDefault="00A1612D" w:rsidP="00A1612D">
      <w:pPr>
        <w:jc w:val="center"/>
        <w:rPr>
          <w:b/>
          <w:bCs/>
          <w:u w:val="single"/>
        </w:rPr>
      </w:pPr>
      <w:r w:rsidRPr="00CE12B3">
        <w:rPr>
          <w:b/>
          <w:bCs/>
          <w:u w:val="single"/>
        </w:rPr>
        <w:t>PURPOSE</w:t>
      </w:r>
    </w:p>
    <w:p w14:paraId="5B871948" w14:textId="77777777" w:rsidR="00A1612D" w:rsidRPr="00CE12B3" w:rsidRDefault="00A1612D" w:rsidP="00A1612D">
      <w:pPr>
        <w:jc w:val="center"/>
        <w:rPr>
          <w:b/>
          <w:bCs/>
          <w:u w:val="single"/>
        </w:rPr>
      </w:pPr>
    </w:p>
    <w:p w14:paraId="68E1B433" w14:textId="77777777" w:rsidR="00A1612D" w:rsidRPr="00CE12B3" w:rsidRDefault="00A1612D" w:rsidP="00A1612D">
      <w:pPr>
        <w:spacing w:line="360" w:lineRule="auto"/>
        <w:ind w:firstLine="720"/>
        <w:jc w:val="both"/>
      </w:pPr>
      <w:r w:rsidRPr="00CE12B3">
        <w:t xml:space="preserve">THIS ORDER is intended to assist the parties, trial counsel and the jury by ensuring, </w:t>
      </w:r>
      <w:proofErr w:type="gramStart"/>
      <w:r w:rsidRPr="00CE12B3">
        <w:t>as much</w:t>
      </w:r>
      <w:proofErr w:type="gramEnd"/>
      <w:r w:rsidRPr="00CE12B3">
        <w:t xml:space="preserve"> as reasonably possible, that the closing arguments in this cause will be presented properly, fairly and professionally.</w:t>
      </w:r>
    </w:p>
    <w:p w14:paraId="44499716" w14:textId="77777777" w:rsidR="00A1612D" w:rsidRPr="00CE12B3" w:rsidRDefault="00A1612D" w:rsidP="00A1612D">
      <w:pPr>
        <w:spacing w:line="360" w:lineRule="auto"/>
        <w:jc w:val="center"/>
        <w:rPr>
          <w:b/>
          <w:bCs/>
          <w:u w:val="single"/>
        </w:rPr>
      </w:pPr>
      <w:r w:rsidRPr="00CE12B3">
        <w:rPr>
          <w:b/>
          <w:bCs/>
          <w:u w:val="single"/>
        </w:rPr>
        <w:t>OVERVIEW</w:t>
      </w:r>
    </w:p>
    <w:p w14:paraId="71351843" w14:textId="77777777" w:rsidR="00105933" w:rsidRPr="00CE12B3" w:rsidRDefault="00105933" w:rsidP="00105933">
      <w:pPr>
        <w:spacing w:line="360" w:lineRule="auto"/>
        <w:jc w:val="both"/>
      </w:pPr>
      <w:r w:rsidRPr="00CE12B3">
        <w:tab/>
        <w:t xml:space="preserve">This Order is not intended as an exhaustive list, but as an illustration of the most frequent subjects of improper closing arguments. </w:t>
      </w:r>
    </w:p>
    <w:p w14:paraId="1CF0C312" w14:textId="77777777" w:rsidR="00105933" w:rsidRPr="00CE12B3" w:rsidRDefault="00105933" w:rsidP="00105933">
      <w:pPr>
        <w:spacing w:line="360" w:lineRule="auto"/>
        <w:jc w:val="both"/>
      </w:pPr>
    </w:p>
    <w:p w14:paraId="5B783F69" w14:textId="77777777" w:rsidR="00DB3A51" w:rsidRDefault="00DB3A51" w:rsidP="00DB3A51">
      <w:pPr>
        <w:spacing w:line="360" w:lineRule="auto"/>
        <w:ind w:firstLine="720"/>
        <w:jc w:val="both"/>
      </w:pPr>
      <w:r w:rsidRPr="00CE12B3">
        <w:t xml:space="preserve">Counsel should keep in mind that the Court has an independent and affirmative obligation to protect jurors from improper closing argument, even if unobjected to. </w:t>
      </w:r>
      <w:r w:rsidRPr="00CE12B3">
        <w:rPr>
          <w:u w:val="single"/>
        </w:rPr>
        <w:t>D’Auria v. Allstate Insurance Co.,</w:t>
      </w:r>
      <w:r w:rsidRPr="00CE12B3">
        <w:t xml:space="preserve"> 673 So.2d 147 (Fla. 5</w:t>
      </w:r>
      <w:r w:rsidRPr="00CE12B3">
        <w:rPr>
          <w:vertAlign w:val="superscript"/>
        </w:rPr>
        <w:t>th</w:t>
      </w:r>
      <w:r w:rsidRPr="00CE12B3">
        <w:t xml:space="preserve"> DCA 1996); </w:t>
      </w:r>
      <w:r w:rsidRPr="00CE12B3">
        <w:rPr>
          <w:u w:val="single"/>
        </w:rPr>
        <w:t>Borden v. Young</w:t>
      </w:r>
      <w:r w:rsidRPr="00CE12B3">
        <w:t xml:space="preserve">, 479 So.2d 850 (Fla. 3d DCA 1985) (“It is no longer -- if it ever was -- acceptable for the judiciary to act simply as a fight promoter, who supplies an arena in which parties may fight it out on unseemly terms of their choosing and then, on the ground that the loser has asked for what he received, obediently raise the hand of the one who emerges victorious.” </w:t>
      </w:r>
      <w:r w:rsidRPr="00CE12B3">
        <w:rPr>
          <w:u w:val="single"/>
        </w:rPr>
        <w:t>Borden, 479 So.2d at 851</w:t>
      </w:r>
      <w:r w:rsidRPr="00CE12B3">
        <w:t>.) If necessary to preserve the fundamental fairness of the proceeding, the Court may intercede -- even absent an objection -- if egregiously improper arguments are made in closing.</w:t>
      </w:r>
    </w:p>
    <w:p w14:paraId="23021575" w14:textId="77777777" w:rsidR="00E46BD7" w:rsidRPr="00CE12B3" w:rsidRDefault="00E46BD7" w:rsidP="00DB3A51">
      <w:pPr>
        <w:spacing w:line="360" w:lineRule="auto"/>
        <w:ind w:firstLine="720"/>
        <w:jc w:val="both"/>
      </w:pPr>
    </w:p>
    <w:p w14:paraId="278D6FDB" w14:textId="06649B38" w:rsidR="00575186" w:rsidRPr="00CE12B3" w:rsidRDefault="0013124D" w:rsidP="0011707C">
      <w:pPr>
        <w:spacing w:after="100" w:afterAutospacing="1" w:line="360" w:lineRule="auto"/>
        <w:ind w:firstLine="720"/>
        <w:jc w:val="both"/>
      </w:pPr>
      <w:r w:rsidRPr="00CE12B3">
        <w:t>Inflammatory i</w:t>
      </w:r>
      <w:r w:rsidR="00F21EB1" w:rsidRPr="00CE12B3">
        <w:t>mproper closing argument</w:t>
      </w:r>
      <w:r w:rsidRPr="00CE12B3">
        <w:t xml:space="preserve">s designed to appeal to the emotions and passions of jurors must be stopped to maintain </w:t>
      </w:r>
      <w:r w:rsidR="00F21EB1" w:rsidRPr="00CE12B3">
        <w:t>public confidence in our system of justice.</w:t>
      </w:r>
      <w:r w:rsidRPr="00CE12B3">
        <w:t xml:space="preserve"> </w:t>
      </w:r>
      <w:r w:rsidRPr="00CE12B3">
        <w:rPr>
          <w:i/>
          <w:iCs/>
        </w:rPr>
        <w:t>R.J. Reynolds Tobacco Company v. Kaplan</w:t>
      </w:r>
      <w:r w:rsidRPr="00CE12B3">
        <w:t>, 321 So. 3d 267, 270 (Fla 4</w:t>
      </w:r>
      <w:r w:rsidRPr="00CE12B3">
        <w:rPr>
          <w:vertAlign w:val="superscript"/>
        </w:rPr>
        <w:t>th</w:t>
      </w:r>
      <w:r w:rsidRPr="00CE12B3">
        <w:t xml:space="preserve"> DCA 2021).  </w:t>
      </w:r>
      <w:r w:rsidR="00F21EB1" w:rsidRPr="00CE12B3">
        <w:t xml:space="preserve">Counsel is reminded that </w:t>
      </w:r>
      <w:r w:rsidR="005B7683" w:rsidRPr="00CE12B3">
        <w:lastRenderedPageBreak/>
        <w:t xml:space="preserve">it is “the ultimate responsibility [of trial judges] to </w:t>
      </w:r>
      <w:r w:rsidR="00A42C31" w:rsidRPr="00CE12B3">
        <w:t xml:space="preserve">ensure </w:t>
      </w:r>
      <w:r w:rsidR="005B7683" w:rsidRPr="00CE12B3">
        <w:t>proper behavior of trial counsel and fair trial proceedings in his or her courtroom” and it is their duty to curb improper argument to “</w:t>
      </w:r>
      <w:proofErr w:type="spellStart"/>
      <w:r w:rsidR="005B7683" w:rsidRPr="00CE12B3">
        <w:t>ensur</w:t>
      </w:r>
      <w:proofErr w:type="spellEnd"/>
      <w:r w:rsidR="005B7683" w:rsidRPr="00CE12B3">
        <w:t xml:space="preserve">[e] that the jury [is] not being led astray.”  </w:t>
      </w:r>
      <w:r w:rsidR="005B7683" w:rsidRPr="00CE12B3">
        <w:rPr>
          <w:i/>
          <w:iCs/>
        </w:rPr>
        <w:t>R. J. Reynolds Tobacco Co. v. Calloway</w:t>
      </w:r>
      <w:r w:rsidR="005B7683" w:rsidRPr="00CE12B3">
        <w:t>, 201 So. 3d 753, 763 (Fla. 4</w:t>
      </w:r>
      <w:r w:rsidR="005B7683" w:rsidRPr="00CE12B3">
        <w:rPr>
          <w:vertAlign w:val="superscript"/>
        </w:rPr>
        <w:t>th</w:t>
      </w:r>
      <w:r w:rsidR="005B7683" w:rsidRPr="00CE12B3">
        <w:t xml:space="preserve"> DCA 2016).  This is especially important “in lengthy, high-stakes cases where a trial court’s failure to control the litigants not only deprives the parties of a fair </w:t>
      </w:r>
      <w:proofErr w:type="gramStart"/>
      <w:r w:rsidR="005B7683" w:rsidRPr="00CE12B3">
        <w:t>trial, but</w:t>
      </w:r>
      <w:proofErr w:type="gramEnd"/>
      <w:r w:rsidR="005B7683" w:rsidRPr="00CE12B3">
        <w:t xml:space="preserve"> can ultimately result in scarce judicial resources being consumed when the case is remanded for retrial based on these actions.”  </w:t>
      </w:r>
      <w:r w:rsidR="005B7683" w:rsidRPr="00CE12B3">
        <w:rPr>
          <w:i/>
          <w:iCs/>
        </w:rPr>
        <w:t>Id.</w:t>
      </w:r>
      <w:r w:rsidR="005B7683" w:rsidRPr="00CE12B3">
        <w:t xml:space="preserve"> </w:t>
      </w:r>
      <w:r w:rsidR="00575186" w:rsidRPr="00CE12B3">
        <w:t xml:space="preserve">A trial judge should respond to such improper argument in a timely and consistent manner, and issue proportional rebukes when repeated instances occur.” </w:t>
      </w:r>
      <w:r w:rsidR="00575186" w:rsidRPr="00CE12B3">
        <w:rPr>
          <w:i/>
          <w:iCs/>
        </w:rPr>
        <w:t xml:space="preserve">Id.  </w:t>
      </w:r>
      <w:r w:rsidR="00575186" w:rsidRPr="00CE12B3">
        <w:t xml:space="preserve">When improper opening statements or closing arguments are repeated, the rebukes may be administered in front of the jury. </w:t>
      </w:r>
    </w:p>
    <w:p w14:paraId="21804414" w14:textId="59951383" w:rsidR="0013124D" w:rsidRPr="00CE12B3" w:rsidRDefault="0013124D" w:rsidP="0011707C">
      <w:pPr>
        <w:spacing w:after="100" w:afterAutospacing="1" w:line="360" w:lineRule="auto"/>
        <w:ind w:firstLine="720"/>
        <w:jc w:val="both"/>
      </w:pPr>
      <w:r w:rsidRPr="00CE12B3">
        <w:t xml:space="preserve">In 2021, the Fourth District Court of Appeal stressed and repeated </w:t>
      </w:r>
      <w:r w:rsidRPr="00CE12B3">
        <w:rPr>
          <w:b/>
          <w:bCs/>
        </w:rPr>
        <w:t>with emphasis to trial judges</w:t>
      </w:r>
      <w:r w:rsidRPr="00CE12B3">
        <w:t xml:space="preserve"> that trial courts must be more vigilant in monitoring over-the-line closing arguments, choosing to dis</w:t>
      </w:r>
      <w:r w:rsidR="00380E48" w:rsidRPr="00CE12B3">
        <w:t>cuss</w:t>
      </w:r>
      <w:r w:rsidRPr="00CE12B3">
        <w:t>, as the primary purpose of the opinion, what they said in 1994:</w:t>
      </w:r>
    </w:p>
    <w:p w14:paraId="4D8F71BC" w14:textId="29EC7A6D" w:rsidR="0013124D" w:rsidRPr="00CE12B3" w:rsidRDefault="0013124D" w:rsidP="0013124D">
      <w:pPr>
        <w:ind w:left="1440" w:right="1440"/>
        <w:jc w:val="both"/>
      </w:pPr>
      <w:r w:rsidRPr="00CE12B3">
        <w:t xml:space="preserve">The fact that appellate courts proscribe misconduct by trial counsel, unfortunately, does not seem to eliminate it.  It is therefore of vital importance that trial judges, when objections are raised to improper argument as they were in this case, properly exercise their duties by stepping in and curbing it. </w:t>
      </w:r>
    </w:p>
    <w:p w14:paraId="2BDC7908" w14:textId="77777777" w:rsidR="0013124D" w:rsidRPr="00CE12B3" w:rsidRDefault="0013124D" w:rsidP="0013124D">
      <w:pPr>
        <w:spacing w:after="120"/>
        <w:ind w:left="1440" w:right="1440"/>
        <w:jc w:val="both"/>
      </w:pPr>
    </w:p>
    <w:p w14:paraId="26C4C7DC" w14:textId="1D36997B" w:rsidR="0013124D" w:rsidRPr="00CE12B3" w:rsidRDefault="0013124D" w:rsidP="0013124D">
      <w:pPr>
        <w:spacing w:after="100" w:afterAutospacing="1" w:line="360" w:lineRule="auto"/>
        <w:jc w:val="both"/>
      </w:pPr>
      <w:r w:rsidRPr="00CE12B3">
        <w:rPr>
          <w:i/>
          <w:iCs/>
        </w:rPr>
        <w:t>R.J. Reynolds Tobacco Company v. Kaplan</w:t>
      </w:r>
      <w:r w:rsidRPr="00CE12B3">
        <w:t>, 321 So. 3d 267, 275-76 (Fla. 4</w:t>
      </w:r>
      <w:r w:rsidRPr="00CE12B3">
        <w:rPr>
          <w:vertAlign w:val="superscript"/>
        </w:rPr>
        <w:t>th</w:t>
      </w:r>
      <w:r w:rsidRPr="00CE12B3">
        <w:t xml:space="preserve"> DCA 2021) (citing </w:t>
      </w:r>
      <w:r w:rsidRPr="00CE12B3">
        <w:rPr>
          <w:i/>
          <w:iCs/>
        </w:rPr>
        <w:t xml:space="preserve">Bellsouth Hum. Res. Admin., Inc. v. </w:t>
      </w:r>
      <w:proofErr w:type="spellStart"/>
      <w:r w:rsidRPr="00CE12B3">
        <w:rPr>
          <w:i/>
          <w:iCs/>
        </w:rPr>
        <w:t>Colatarci</w:t>
      </w:r>
      <w:proofErr w:type="spellEnd"/>
      <w:r w:rsidRPr="00CE12B3">
        <w:t>, 641 So. 2d 427, 430 (Fla. 4</w:t>
      </w:r>
      <w:r w:rsidRPr="00CE12B3">
        <w:rPr>
          <w:vertAlign w:val="superscript"/>
        </w:rPr>
        <w:t>th</w:t>
      </w:r>
      <w:r w:rsidRPr="00CE12B3">
        <w:t xml:space="preserve"> DCA 1994).</w:t>
      </w:r>
    </w:p>
    <w:p w14:paraId="17FAF2BB" w14:textId="4CBDC1E8" w:rsidR="00F21EB1" w:rsidRPr="00CE12B3" w:rsidRDefault="00575186" w:rsidP="0013124D">
      <w:pPr>
        <w:spacing w:after="100" w:afterAutospacing="1" w:line="360" w:lineRule="auto"/>
        <w:ind w:firstLine="720"/>
        <w:jc w:val="both"/>
      </w:pPr>
      <w:r w:rsidRPr="00CE12B3">
        <w:t xml:space="preserve">Counsel is reminded that if improper behavior continues, the trial judge has the option to use indirect civil contempt monetary sanctions for repeated violations of court rulings.  </w:t>
      </w:r>
      <w:r w:rsidRPr="00CE12B3">
        <w:rPr>
          <w:i/>
          <w:iCs/>
        </w:rPr>
        <w:t>See, e.g., Moakley v. Smallwood,</w:t>
      </w:r>
      <w:r w:rsidRPr="00CE12B3">
        <w:t xml:space="preserve"> 826 So. 2d 221, 226 (Fla. 2002) (holding that a trial court possesses the inherent authority to impose attorney’s fees against an attorney for bad faith conduct). </w:t>
      </w:r>
    </w:p>
    <w:p w14:paraId="7307932A" w14:textId="52AAC924" w:rsidR="0011707C" w:rsidRPr="00CE12B3" w:rsidRDefault="0011707C" w:rsidP="0011707C">
      <w:pPr>
        <w:spacing w:after="100" w:afterAutospacing="1" w:line="360" w:lineRule="auto"/>
        <w:ind w:firstLine="720"/>
        <w:jc w:val="both"/>
      </w:pPr>
      <w:r w:rsidRPr="00CE12B3">
        <w:t xml:space="preserve">Counsel should not refrain from objecting to improper argument by opposing counsel under the belief that this Court will then be obligated to permit counsel to offer equally improper arguments under the concept of “fair reply.” Counsel has an obligation to object to improper argument. </w:t>
      </w:r>
      <w:r w:rsidRPr="00CE12B3">
        <w:rPr>
          <w:i/>
        </w:rPr>
        <w:t>Fryer v. State</w:t>
      </w:r>
      <w:r w:rsidRPr="00CE12B3">
        <w:t>, 693 So.2d 1046 (Fla. 3d DCA 1997) (Sorondo, J. concurring).</w:t>
      </w:r>
    </w:p>
    <w:p w14:paraId="04A5A6C6" w14:textId="77777777" w:rsidR="0011707C" w:rsidRPr="00CE12B3" w:rsidRDefault="0011707C" w:rsidP="0011707C">
      <w:pPr>
        <w:spacing w:line="360" w:lineRule="auto"/>
        <w:ind w:firstLine="720"/>
        <w:jc w:val="both"/>
      </w:pPr>
      <w:r w:rsidRPr="00CE12B3">
        <w:lastRenderedPageBreak/>
        <w:t>Absent any order to the contrary by this Court, counsel’s closing argument shall conform to the restrictions contained in this Order.  If counsel is uncertain whether a particular argument may violate this Order (or might otherwise be improper under existing caselaw) counsel should seek the guidance of the Court prior to presenting the argument to the jury.</w:t>
      </w:r>
    </w:p>
    <w:p w14:paraId="61FBBEC9" w14:textId="77777777" w:rsidR="008338E8" w:rsidRPr="00CE12B3" w:rsidRDefault="008338E8" w:rsidP="0011707C">
      <w:pPr>
        <w:spacing w:line="360" w:lineRule="auto"/>
        <w:ind w:firstLine="720"/>
        <w:jc w:val="both"/>
      </w:pPr>
    </w:p>
    <w:p w14:paraId="11D32274" w14:textId="3C3CCC3D" w:rsidR="008338E8" w:rsidRPr="00CE12B3" w:rsidRDefault="008338E8" w:rsidP="00E52F50">
      <w:pPr>
        <w:spacing w:line="360" w:lineRule="auto"/>
        <w:ind w:left="2160" w:firstLine="720"/>
        <w:jc w:val="both"/>
        <w:rPr>
          <w:b/>
          <w:bCs/>
          <w:u w:val="single"/>
        </w:rPr>
      </w:pPr>
      <w:r w:rsidRPr="00CE12B3">
        <w:rPr>
          <w:b/>
          <w:bCs/>
          <w:u w:val="single"/>
        </w:rPr>
        <w:t>IMPROPER ARGUMENT</w:t>
      </w:r>
    </w:p>
    <w:p w14:paraId="29718DAD" w14:textId="77777777" w:rsidR="008338E8" w:rsidRPr="00CE12B3" w:rsidRDefault="008338E8" w:rsidP="00E52F50">
      <w:pPr>
        <w:spacing w:line="360" w:lineRule="auto"/>
        <w:ind w:firstLine="720"/>
        <w:jc w:val="both"/>
      </w:pPr>
      <w:r w:rsidRPr="00CE12B3">
        <w:t>THIS CAUSE having come on for trial, this Court hereby orders all counsel to abide by the following restrictions during their closing arguments, absent any order to the contrary by this Court:</w:t>
      </w:r>
    </w:p>
    <w:p w14:paraId="48108094" w14:textId="00657C7B" w:rsidR="008338E8" w:rsidRPr="00CE12B3" w:rsidRDefault="008338E8" w:rsidP="00094D52">
      <w:pPr>
        <w:pStyle w:val="ListParagraph"/>
        <w:numPr>
          <w:ilvl w:val="0"/>
          <w:numId w:val="1"/>
        </w:numPr>
        <w:spacing w:line="360" w:lineRule="auto"/>
        <w:ind w:left="0" w:firstLine="360"/>
        <w:jc w:val="both"/>
      </w:pPr>
      <w:r w:rsidRPr="00CE12B3">
        <w:t xml:space="preserve">Counsel is reminded that the purpose of closing argument is to help the jury understand the issues in a case by “applying the evidence to the law applicable to the case.” </w:t>
      </w:r>
      <w:r w:rsidR="00F6712E" w:rsidRPr="00CE12B3">
        <w:rPr>
          <w:i/>
        </w:rPr>
        <w:t>Mayo</w:t>
      </w:r>
      <w:r w:rsidR="00F6712E" w:rsidRPr="00CE12B3">
        <w:t xml:space="preserve"> </w:t>
      </w:r>
      <w:r w:rsidRPr="00CE12B3">
        <w:rPr>
          <w:i/>
        </w:rPr>
        <w:t xml:space="preserve">v. </w:t>
      </w:r>
      <w:proofErr w:type="spellStart"/>
      <w:r w:rsidR="00F6712E" w:rsidRPr="00CE12B3">
        <w:rPr>
          <w:i/>
        </w:rPr>
        <w:t>Gazarosian</w:t>
      </w:r>
      <w:proofErr w:type="spellEnd"/>
      <w:r w:rsidRPr="00CE12B3">
        <w:t xml:space="preserve">, </w:t>
      </w:r>
      <w:r w:rsidR="00F6712E" w:rsidRPr="00CE12B3">
        <w:t>727 So. 2d 1140 (Fla. 5</w:t>
      </w:r>
      <w:r w:rsidR="00F6712E" w:rsidRPr="00CE12B3">
        <w:rPr>
          <w:vertAlign w:val="superscript"/>
        </w:rPr>
        <w:t>th</w:t>
      </w:r>
      <w:r w:rsidR="00F6712E" w:rsidRPr="00CE12B3">
        <w:t xml:space="preserve"> DCA 1999); </w:t>
      </w:r>
      <w:r w:rsidR="00CF2169" w:rsidRPr="00CE12B3">
        <w:rPr>
          <w:i/>
        </w:rPr>
        <w:t>Airport Rent-A-Car, Inc. v. Lewis</w:t>
      </w:r>
      <w:r w:rsidR="00CF2169" w:rsidRPr="00CE12B3">
        <w:t>, 701 So. 2d 893 (Fla. 4</w:t>
      </w:r>
      <w:r w:rsidR="00CF2169" w:rsidRPr="00CE12B3">
        <w:rPr>
          <w:vertAlign w:val="superscript"/>
        </w:rPr>
        <w:t>th</w:t>
      </w:r>
      <w:r w:rsidR="00CF2169" w:rsidRPr="00CE12B3">
        <w:t xml:space="preserve"> DCA 1997); </w:t>
      </w:r>
      <w:r w:rsidR="00CF2169" w:rsidRPr="00CE12B3">
        <w:rPr>
          <w:i/>
        </w:rPr>
        <w:t>Cohen v. Pollack</w:t>
      </w:r>
      <w:r w:rsidR="00CF2169" w:rsidRPr="00CE12B3">
        <w:t xml:space="preserve">, 674 So. 2d 805 (Fla. 3d DCA 1996); Florida Rule of Professional Conduct 4-3.4(e). </w:t>
      </w:r>
      <w:r w:rsidR="003A511E" w:rsidRPr="00CE12B3">
        <w:rPr>
          <w:i/>
        </w:rPr>
        <w:t>Hill v. State</w:t>
      </w:r>
      <w:r w:rsidR="003A511E" w:rsidRPr="00CE12B3">
        <w:t>,</w:t>
      </w:r>
      <w:r w:rsidR="00CF2169" w:rsidRPr="00CE12B3">
        <w:t xml:space="preserve"> </w:t>
      </w:r>
      <w:r w:rsidRPr="00CE12B3">
        <w:t xml:space="preserve">515 So.2d 176, 178 (Fla. 1987). </w:t>
      </w:r>
      <w:r w:rsidRPr="00CE12B3">
        <w:rPr>
          <w:i/>
        </w:rPr>
        <w:t>See also, McGee v. State</w:t>
      </w:r>
      <w:r w:rsidRPr="00CE12B3">
        <w:t xml:space="preserve">, 83 So.3d 837 (Fla. 4 D 2011) (quoting, </w:t>
      </w:r>
      <w:r w:rsidRPr="00CE12B3">
        <w:rPr>
          <w:i/>
        </w:rPr>
        <w:t>Fleurimond v. State</w:t>
      </w:r>
      <w:r w:rsidRPr="00CE12B3">
        <w:t xml:space="preserve">, 10 So.3d 1140, 1148 (Fla. 3d DCA 2009)) (“The purpose of closing argument is to present a review of the evidence and suggestions for drawing reasonable inferences from the evidence.”); </w:t>
      </w:r>
      <w:r w:rsidRPr="00CE12B3">
        <w:rPr>
          <w:i/>
        </w:rPr>
        <w:t>Gonzalez v. State</w:t>
      </w:r>
      <w:r w:rsidRPr="00CE12B3">
        <w:t xml:space="preserve"> 990 So.2d 1017 (Fla. 2008) (“The proper exercise of closing argument is to review the evidence and to explicate those inferences which may reasonably be drawn from the evidence.”).</w:t>
      </w:r>
    </w:p>
    <w:p w14:paraId="50652FF5" w14:textId="77777777" w:rsidR="000422CA" w:rsidRPr="00CE12B3" w:rsidRDefault="000422CA" w:rsidP="000422CA">
      <w:pPr>
        <w:pStyle w:val="ListParagraph"/>
        <w:spacing w:line="360" w:lineRule="auto"/>
        <w:ind w:left="360"/>
        <w:jc w:val="both"/>
      </w:pPr>
    </w:p>
    <w:p w14:paraId="11478928" w14:textId="64777FF0" w:rsidR="000422CA" w:rsidRPr="00CE12B3" w:rsidRDefault="000422CA" w:rsidP="00094D52">
      <w:pPr>
        <w:pStyle w:val="ListParagraph"/>
        <w:numPr>
          <w:ilvl w:val="0"/>
          <w:numId w:val="1"/>
        </w:numPr>
        <w:spacing w:line="360" w:lineRule="auto"/>
        <w:ind w:left="0" w:firstLine="360"/>
        <w:jc w:val="both"/>
      </w:pPr>
      <w:r w:rsidRPr="00CE12B3">
        <w:t xml:space="preserve">Counsel should be afforded great latitude in presenting closing argument, but they must “confine their argument to the facts and evidence presented to the jury and all logical deductions from the facts and evidence.”  </w:t>
      </w:r>
      <w:proofErr w:type="spellStart"/>
      <w:r w:rsidRPr="00CE12B3">
        <w:rPr>
          <w:i/>
          <w:iCs/>
        </w:rPr>
        <w:t>Knoizen</w:t>
      </w:r>
      <w:proofErr w:type="spellEnd"/>
      <w:r w:rsidRPr="00CE12B3">
        <w:rPr>
          <w:i/>
          <w:iCs/>
        </w:rPr>
        <w:t xml:space="preserve"> v. Bruegger,</w:t>
      </w:r>
      <w:r w:rsidRPr="00CE12B3">
        <w:t xml:space="preserve"> 713 So. 2d 1071, 1072 (Fla.5</w:t>
      </w:r>
      <w:r w:rsidRPr="00CE12B3">
        <w:rPr>
          <w:vertAlign w:val="superscript"/>
        </w:rPr>
        <w:t>th</w:t>
      </w:r>
      <w:r w:rsidRPr="00CE12B3">
        <w:t xml:space="preserve"> DCA 1998); </w:t>
      </w:r>
      <w:r w:rsidRPr="00CE12B3">
        <w:rPr>
          <w:i/>
          <w:iCs/>
        </w:rPr>
        <w:t>see also Venning v. Roe</w:t>
      </w:r>
      <w:r w:rsidRPr="00CE12B3">
        <w:t>, 616 So. 2d 604 (Fla. 2d DCA 1993).  In addition, counsel must not use closing argument to “inflame the minds and passions of the jurors so that their verdict reflects an emotional response…rather tha</w:t>
      </w:r>
      <w:r w:rsidR="00816045" w:rsidRPr="00CE12B3">
        <w:t>n</w:t>
      </w:r>
      <w:r w:rsidRPr="00CE12B3">
        <w:t xml:space="preserve"> the logical analysis of the evidence in light of the applicable </w:t>
      </w:r>
      <w:r w:rsidR="00816045" w:rsidRPr="00CE12B3">
        <w:t xml:space="preserve">law.”  </w:t>
      </w:r>
      <w:r w:rsidR="00816045" w:rsidRPr="00CE12B3">
        <w:rPr>
          <w:i/>
          <w:iCs/>
        </w:rPr>
        <w:t>Bertolotti v. State</w:t>
      </w:r>
      <w:r w:rsidR="00816045" w:rsidRPr="00CE12B3">
        <w:t xml:space="preserve">, 476 So. 2d 130, 134 (Fla. 1985). </w:t>
      </w:r>
    </w:p>
    <w:p w14:paraId="3C219B3D" w14:textId="77777777" w:rsidR="008338E8" w:rsidRPr="00CE12B3" w:rsidRDefault="008338E8" w:rsidP="008338E8">
      <w:pPr>
        <w:spacing w:line="360" w:lineRule="auto"/>
        <w:ind w:firstLine="720"/>
        <w:jc w:val="both"/>
      </w:pPr>
    </w:p>
    <w:p w14:paraId="704D3518" w14:textId="77777777" w:rsidR="00E57933" w:rsidRPr="00CE12B3" w:rsidRDefault="00671067" w:rsidP="00094D52">
      <w:pPr>
        <w:pStyle w:val="ListParagraph"/>
        <w:numPr>
          <w:ilvl w:val="0"/>
          <w:numId w:val="1"/>
        </w:numPr>
        <w:spacing w:line="360" w:lineRule="auto"/>
        <w:ind w:left="0" w:firstLine="360"/>
        <w:jc w:val="both"/>
      </w:pPr>
      <w:r w:rsidRPr="00CE12B3">
        <w:t xml:space="preserve">Counsel shall not comment upon irrelevant matters unrelated to the evidence presented at trial.  The purpose of closing argument is disserved when comment upon irrelevant matters is permitted. </w:t>
      </w:r>
      <w:r w:rsidRPr="00CE12B3">
        <w:rPr>
          <w:i/>
        </w:rPr>
        <w:t>See Hernandez v. State</w:t>
      </w:r>
      <w:r w:rsidRPr="00CE12B3">
        <w:t xml:space="preserve">, 960 So.2d 816 (Fla. 3 DCA 2007). </w:t>
      </w:r>
    </w:p>
    <w:p w14:paraId="5CFAD3ED" w14:textId="1DB1E6D4" w:rsidR="00E57933" w:rsidRPr="00CE12B3" w:rsidRDefault="00E57933" w:rsidP="00E52F50">
      <w:pPr>
        <w:pStyle w:val="ListParagraph"/>
        <w:spacing w:line="360" w:lineRule="auto"/>
      </w:pPr>
    </w:p>
    <w:p w14:paraId="1DA10ED4" w14:textId="77777777" w:rsidR="00671067" w:rsidRPr="00CE12B3" w:rsidRDefault="00671067" w:rsidP="00094D52">
      <w:pPr>
        <w:pStyle w:val="ListParagraph"/>
        <w:numPr>
          <w:ilvl w:val="0"/>
          <w:numId w:val="1"/>
        </w:numPr>
        <w:spacing w:line="360" w:lineRule="auto"/>
        <w:ind w:left="0" w:firstLine="360"/>
        <w:jc w:val="both"/>
      </w:pPr>
      <w:r w:rsidRPr="00CE12B3">
        <w:t>Counsel shall not express their personal opinion or beliefs regarding any aspect of the evidence or testimony,</w:t>
      </w:r>
      <w:r w:rsidRPr="00CE12B3">
        <w:rPr>
          <w:rStyle w:val="FootnoteReference"/>
        </w:rPr>
        <w:footnoteReference w:id="1"/>
      </w:r>
      <w:r w:rsidRPr="00CE12B3">
        <w:t xml:space="preserve"> </w:t>
      </w:r>
      <w:r w:rsidR="00496139" w:rsidRPr="00CE12B3">
        <w:t xml:space="preserve">or personally bolster or vouch for the credibility of any witness or party in this cause. </w:t>
      </w:r>
      <w:r w:rsidR="00E5512C" w:rsidRPr="00CE12B3">
        <w:rPr>
          <w:i/>
        </w:rPr>
        <w:t xml:space="preserve">Mayo v. </w:t>
      </w:r>
      <w:proofErr w:type="spellStart"/>
      <w:r w:rsidR="00E5512C" w:rsidRPr="00CE12B3">
        <w:rPr>
          <w:i/>
        </w:rPr>
        <w:t>Gazarosian</w:t>
      </w:r>
      <w:proofErr w:type="spellEnd"/>
      <w:r w:rsidR="00E5512C" w:rsidRPr="00CE12B3">
        <w:t>, 727 So. 2d 1140 (Fla. 5</w:t>
      </w:r>
      <w:r w:rsidR="00E5512C" w:rsidRPr="00CE12B3">
        <w:rPr>
          <w:vertAlign w:val="superscript"/>
        </w:rPr>
        <w:t>th</w:t>
      </w:r>
      <w:r w:rsidR="00E5512C" w:rsidRPr="00CE12B3">
        <w:t xml:space="preserve"> DCA 1999); </w:t>
      </w:r>
      <w:r w:rsidR="00E5512C" w:rsidRPr="00CE12B3">
        <w:rPr>
          <w:i/>
        </w:rPr>
        <w:t>Airport Rent-A-Car, Inc. v. Lewis</w:t>
      </w:r>
      <w:r w:rsidR="00E5512C" w:rsidRPr="00CE12B3">
        <w:t>, 701 So. 2d 893 (Fla. 4</w:t>
      </w:r>
      <w:r w:rsidR="00E5512C" w:rsidRPr="00CE12B3">
        <w:rPr>
          <w:vertAlign w:val="superscript"/>
        </w:rPr>
        <w:t>th</w:t>
      </w:r>
      <w:r w:rsidR="00E5512C" w:rsidRPr="00CE12B3">
        <w:t xml:space="preserve"> DCA 1997); </w:t>
      </w:r>
      <w:r w:rsidR="00E5512C" w:rsidRPr="00CE12B3">
        <w:rPr>
          <w:i/>
        </w:rPr>
        <w:t>Cohen v. Pollack</w:t>
      </w:r>
      <w:r w:rsidR="00E5512C" w:rsidRPr="00CE12B3">
        <w:t xml:space="preserve">, 674 So. 2d 805 (Fla. 3d DCA 1996); Florida Rule of Professional Conduct 4-3.4(e). </w:t>
      </w:r>
    </w:p>
    <w:p w14:paraId="46C2ABCA" w14:textId="77777777" w:rsidR="00AF4A47" w:rsidRPr="00CE12B3" w:rsidRDefault="00AF4A47" w:rsidP="00E52F50">
      <w:pPr>
        <w:pStyle w:val="ListParagraph"/>
        <w:spacing w:line="360" w:lineRule="auto"/>
      </w:pPr>
    </w:p>
    <w:p w14:paraId="354536E1" w14:textId="77777777" w:rsidR="00514B8A" w:rsidRPr="00CE12B3" w:rsidRDefault="008D12F5" w:rsidP="00333F40">
      <w:pPr>
        <w:pStyle w:val="ListParagraph"/>
        <w:numPr>
          <w:ilvl w:val="0"/>
          <w:numId w:val="1"/>
        </w:numPr>
        <w:spacing w:line="360" w:lineRule="auto"/>
        <w:ind w:left="0" w:firstLine="360"/>
        <w:jc w:val="both"/>
      </w:pPr>
      <w:r w:rsidRPr="00CE12B3">
        <w:t xml:space="preserve">Counsel shall refrain from expressing personal knowledge of facts </w:t>
      </w:r>
      <w:r w:rsidR="00BF6D26" w:rsidRPr="00CE12B3">
        <w:t>in</w:t>
      </w:r>
      <w:r w:rsidRPr="00CE12B3">
        <w:t xml:space="preserve"> issue or personal opinion as to the justness of the cause, the credibility of a witness or the c</w:t>
      </w:r>
      <w:r w:rsidR="005002B1" w:rsidRPr="00CE12B3">
        <w:t xml:space="preserve">ulpability of a civil litigant. </w:t>
      </w:r>
      <w:r w:rsidR="005002B1" w:rsidRPr="00CE12B3">
        <w:rPr>
          <w:i/>
        </w:rPr>
        <w:t>Muhammad v. Toys “R” Us</w:t>
      </w:r>
      <w:r w:rsidR="005002B1" w:rsidRPr="00CE12B3">
        <w:t>, 668 So. 2d 254 (</w:t>
      </w:r>
      <w:r w:rsidR="00BF6D26" w:rsidRPr="00CE12B3">
        <w:t xml:space="preserve">Fla. </w:t>
      </w:r>
      <w:r w:rsidR="005002B1" w:rsidRPr="00CE12B3">
        <w:t>1</w:t>
      </w:r>
      <w:r w:rsidR="005002B1" w:rsidRPr="00CE12B3">
        <w:rPr>
          <w:vertAlign w:val="superscript"/>
        </w:rPr>
        <w:t>st</w:t>
      </w:r>
      <w:r w:rsidR="005002B1" w:rsidRPr="00CE12B3">
        <w:t xml:space="preserve"> DCA 1996); </w:t>
      </w:r>
      <w:r w:rsidR="005002B1" w:rsidRPr="00CE12B3">
        <w:rPr>
          <w:i/>
        </w:rPr>
        <w:t>Miami Coin-O-Wash v. McG</w:t>
      </w:r>
      <w:r w:rsidR="0046697D" w:rsidRPr="00CE12B3">
        <w:rPr>
          <w:i/>
        </w:rPr>
        <w:t>ough</w:t>
      </w:r>
      <w:r w:rsidR="0046697D" w:rsidRPr="00CE12B3">
        <w:t xml:space="preserve">, 195 So. 2d 227 (Fla. 3d DCA 1967).  </w:t>
      </w:r>
    </w:p>
    <w:p w14:paraId="3514C3B0" w14:textId="39B6FF56" w:rsidR="00E52F50" w:rsidRPr="00CE12B3" w:rsidRDefault="001524CD" w:rsidP="001524CD">
      <w:pPr>
        <w:spacing w:line="360" w:lineRule="auto"/>
        <w:jc w:val="both"/>
      </w:pPr>
      <w:r w:rsidRPr="00CE12B3">
        <w:t xml:space="preserve">         </w:t>
      </w:r>
    </w:p>
    <w:p w14:paraId="1AB4F358" w14:textId="0EADBB3B" w:rsidR="00895D4D" w:rsidRPr="00CE12B3" w:rsidRDefault="00514B8A" w:rsidP="00987A6B">
      <w:pPr>
        <w:pStyle w:val="ListParagraph"/>
        <w:numPr>
          <w:ilvl w:val="0"/>
          <w:numId w:val="1"/>
        </w:numPr>
        <w:spacing w:line="360" w:lineRule="auto"/>
        <w:ind w:left="0" w:firstLine="360"/>
        <w:jc w:val="both"/>
      </w:pPr>
      <w:r w:rsidRPr="00CE12B3">
        <w:t xml:space="preserve">Counsel shall not denigrate or impugn the integrity of opposing counsel. Examples of this are accusing counsel of “trickery”, “hiding the ball”, filing a frivolous </w:t>
      </w:r>
      <w:r w:rsidR="009031AE" w:rsidRPr="00CE12B3">
        <w:t>lawsuit</w:t>
      </w:r>
      <w:r w:rsidRPr="00CE12B3">
        <w:t xml:space="preserve">, fabricating evidence, using “smoke and mirrors”, or creating a “work of fiction”. </w:t>
      </w:r>
      <w:r w:rsidRPr="00CE12B3">
        <w:rPr>
          <w:i/>
        </w:rPr>
        <w:t xml:space="preserve">Owens Corning </w:t>
      </w:r>
      <w:r w:rsidR="00895D4D" w:rsidRPr="00CE12B3">
        <w:rPr>
          <w:i/>
        </w:rPr>
        <w:t>Fiberglass Corp. v. Crane</w:t>
      </w:r>
      <w:r w:rsidR="00895D4D" w:rsidRPr="00CE12B3">
        <w:t xml:space="preserve">, 683 So. 2d 552 (Fla. 3d DCA 1996); </w:t>
      </w:r>
      <w:r w:rsidR="00895D4D" w:rsidRPr="00CE12B3">
        <w:rPr>
          <w:i/>
        </w:rPr>
        <w:t>Owens Corning Fiberglass Corp. v. Morse</w:t>
      </w:r>
      <w:r w:rsidR="00895D4D" w:rsidRPr="00CE12B3">
        <w:t xml:space="preserve">, 653 So. 2d 409 (Fla. 3d DCA 1995). </w:t>
      </w:r>
    </w:p>
    <w:p w14:paraId="2AE846D8" w14:textId="77777777" w:rsidR="001524CD" w:rsidRPr="00CE12B3" w:rsidRDefault="001524CD" w:rsidP="001524CD">
      <w:pPr>
        <w:pStyle w:val="ListParagraph"/>
        <w:spacing w:line="360" w:lineRule="auto"/>
      </w:pPr>
    </w:p>
    <w:p w14:paraId="2BF29813" w14:textId="77777777" w:rsidR="00496139" w:rsidRPr="00CE12B3" w:rsidRDefault="00895D4D" w:rsidP="00AF4A47">
      <w:pPr>
        <w:pStyle w:val="ListParagraph"/>
        <w:numPr>
          <w:ilvl w:val="0"/>
          <w:numId w:val="1"/>
        </w:numPr>
        <w:spacing w:line="360" w:lineRule="auto"/>
        <w:ind w:left="0" w:firstLine="360"/>
        <w:jc w:val="both"/>
      </w:pPr>
      <w:r w:rsidRPr="00CE12B3">
        <w:t>Counsel shall avoid using derogatory terms when referring to the opposing party, a witness, or opposing counsel and shall not make any disparaging comments about counsel</w:t>
      </w:r>
      <w:r w:rsidR="0079614A" w:rsidRPr="00CE12B3">
        <w:t xml:space="preserve">’s occupation or performance in court. </w:t>
      </w:r>
      <w:r w:rsidR="0079614A" w:rsidRPr="00CE12B3">
        <w:rPr>
          <w:i/>
        </w:rPr>
        <w:t>All-Site Corp. v. Delia Croce</w:t>
      </w:r>
      <w:r w:rsidR="0079614A" w:rsidRPr="00CE12B3">
        <w:t xml:space="preserve">, 647 So. 2d 296 (Fla. 3d DCA 1994); </w:t>
      </w:r>
      <w:r w:rsidR="0079614A" w:rsidRPr="00CE12B3">
        <w:rPr>
          <w:i/>
        </w:rPr>
        <w:t xml:space="preserve">Bellsouth v. </w:t>
      </w:r>
      <w:proofErr w:type="spellStart"/>
      <w:r w:rsidR="0079614A" w:rsidRPr="00CE12B3">
        <w:rPr>
          <w:i/>
        </w:rPr>
        <w:t>Colatarci</w:t>
      </w:r>
      <w:proofErr w:type="spellEnd"/>
      <w:r w:rsidR="0079614A" w:rsidRPr="00CE12B3">
        <w:t xml:space="preserve">, </w:t>
      </w:r>
      <w:r w:rsidR="00AD5A8F" w:rsidRPr="00CE12B3">
        <w:t>641 So. 2d 427 (Fla. 4</w:t>
      </w:r>
      <w:r w:rsidR="00AD5A8F" w:rsidRPr="00CE12B3">
        <w:rPr>
          <w:vertAlign w:val="superscript"/>
        </w:rPr>
        <w:t>th</w:t>
      </w:r>
      <w:r w:rsidR="00AD5A8F" w:rsidRPr="00CE12B3">
        <w:t xml:space="preserve"> DCA 1994).</w:t>
      </w:r>
    </w:p>
    <w:p w14:paraId="14C0CEF2" w14:textId="77777777" w:rsidR="00AD5A8F" w:rsidRPr="00CE12B3" w:rsidRDefault="00AD5A8F" w:rsidP="001524CD">
      <w:pPr>
        <w:pStyle w:val="ListParagraph"/>
        <w:spacing w:line="360" w:lineRule="auto"/>
      </w:pPr>
    </w:p>
    <w:p w14:paraId="43CFDCAD" w14:textId="77777777" w:rsidR="00400EF5" w:rsidRPr="00CE12B3" w:rsidRDefault="00AD5A8F" w:rsidP="00AF4A47">
      <w:pPr>
        <w:pStyle w:val="ListParagraph"/>
        <w:numPr>
          <w:ilvl w:val="0"/>
          <w:numId w:val="1"/>
        </w:numPr>
        <w:spacing w:line="360" w:lineRule="auto"/>
        <w:ind w:left="0" w:firstLine="360"/>
        <w:jc w:val="both"/>
      </w:pPr>
      <w:r w:rsidRPr="00CE12B3">
        <w:t xml:space="preserve">Counsel shall not denigrate or impugn the integrity of another party or a witness. Examples of this are referring to an expert as “the best money could buy”, a “hired gun”, having a “special relationship” with counsel, giving “magic testimony”, using “smoke and mirrors”, </w:t>
      </w:r>
      <w:r w:rsidR="00983219" w:rsidRPr="00CE12B3">
        <w:t xml:space="preserve">throwing “pixie dust”, referring to a party as having “lawsuit pain”. </w:t>
      </w:r>
      <w:r w:rsidR="00983219" w:rsidRPr="00CE12B3">
        <w:rPr>
          <w:i/>
        </w:rPr>
        <w:t xml:space="preserve">King v. Byrd, </w:t>
      </w:r>
      <w:r w:rsidR="00983219" w:rsidRPr="00CE12B3">
        <w:t>716 So. 2d 831 (Fla. 4</w:t>
      </w:r>
      <w:r w:rsidR="00983219" w:rsidRPr="00CE12B3">
        <w:rPr>
          <w:vertAlign w:val="superscript"/>
        </w:rPr>
        <w:t>th</w:t>
      </w:r>
      <w:r w:rsidR="00983219" w:rsidRPr="00CE12B3">
        <w:t xml:space="preserve"> DCA 1998); </w:t>
      </w:r>
      <w:r w:rsidR="00983219" w:rsidRPr="00CE12B3">
        <w:rPr>
          <w:i/>
        </w:rPr>
        <w:t xml:space="preserve">Venning v. </w:t>
      </w:r>
      <w:r w:rsidR="00687685" w:rsidRPr="00CE12B3">
        <w:rPr>
          <w:i/>
        </w:rPr>
        <w:t>Roe</w:t>
      </w:r>
      <w:r w:rsidR="00687685" w:rsidRPr="00CE12B3">
        <w:t xml:space="preserve">, 616 So. 2d 604 (Fla. 2d DCA 1993); </w:t>
      </w:r>
      <w:r w:rsidR="00687685" w:rsidRPr="00CE12B3">
        <w:rPr>
          <w:i/>
        </w:rPr>
        <w:t>George v. Mann</w:t>
      </w:r>
      <w:r w:rsidR="00687685" w:rsidRPr="00CE12B3">
        <w:t xml:space="preserve">, 622 So. 2d 151 (Fla. </w:t>
      </w:r>
      <w:r w:rsidR="00687685" w:rsidRPr="00CE12B3">
        <w:lastRenderedPageBreak/>
        <w:t xml:space="preserve">3d DCA 1993); </w:t>
      </w:r>
      <w:r w:rsidR="00BF6D26" w:rsidRPr="00CE12B3">
        <w:rPr>
          <w:i/>
        </w:rPr>
        <w:t>All</w:t>
      </w:r>
      <w:r w:rsidR="00687685" w:rsidRPr="00CE12B3">
        <w:rPr>
          <w:i/>
        </w:rPr>
        <w:t>-S</w:t>
      </w:r>
      <w:r w:rsidR="00392DC9" w:rsidRPr="00CE12B3">
        <w:rPr>
          <w:i/>
        </w:rPr>
        <w:t>ite Corp. v. Delia Croce</w:t>
      </w:r>
      <w:r w:rsidR="00392DC9" w:rsidRPr="00CE12B3">
        <w:t xml:space="preserve">, 647 So. 2d 296 (Fla. 3d DCA 1994); </w:t>
      </w:r>
      <w:r w:rsidR="00392DC9" w:rsidRPr="00CE12B3">
        <w:rPr>
          <w:i/>
        </w:rPr>
        <w:t>Walt Disney World Co. v. Blaylock</w:t>
      </w:r>
      <w:r w:rsidR="00392DC9" w:rsidRPr="00CE12B3">
        <w:t xml:space="preserve">, </w:t>
      </w:r>
      <w:r w:rsidR="00400EF5" w:rsidRPr="00CE12B3">
        <w:t>640 So. 2d 1156 (Fla. 5</w:t>
      </w:r>
      <w:r w:rsidR="00400EF5" w:rsidRPr="00CE12B3">
        <w:rPr>
          <w:vertAlign w:val="superscript"/>
        </w:rPr>
        <w:t>th</w:t>
      </w:r>
      <w:r w:rsidR="00400EF5" w:rsidRPr="00CE12B3">
        <w:t xml:space="preserve"> DCA 1994); </w:t>
      </w:r>
      <w:r w:rsidR="00400EF5" w:rsidRPr="00CE12B3">
        <w:rPr>
          <w:i/>
        </w:rPr>
        <w:t>Carnival Cruise Lines, Inc. v. Rosania</w:t>
      </w:r>
      <w:r w:rsidR="00400EF5" w:rsidRPr="00CE12B3">
        <w:t xml:space="preserve">, 546 So. 2d 736 (Fla. 3d DCA 1989). </w:t>
      </w:r>
    </w:p>
    <w:p w14:paraId="3C751684" w14:textId="77777777" w:rsidR="00206BCF" w:rsidRPr="00CE12B3" w:rsidRDefault="00206BCF" w:rsidP="001524CD">
      <w:pPr>
        <w:pStyle w:val="ListParagraph"/>
        <w:spacing w:line="360" w:lineRule="auto"/>
      </w:pPr>
    </w:p>
    <w:p w14:paraId="10580617" w14:textId="65483ADF" w:rsidR="0087444C" w:rsidRPr="00CE12B3" w:rsidRDefault="00BD1687" w:rsidP="00AF4A47">
      <w:pPr>
        <w:pStyle w:val="ListParagraph"/>
        <w:numPr>
          <w:ilvl w:val="0"/>
          <w:numId w:val="1"/>
        </w:numPr>
        <w:spacing w:line="360" w:lineRule="auto"/>
        <w:ind w:left="0" w:firstLine="360"/>
        <w:jc w:val="both"/>
      </w:pPr>
      <w:r w:rsidRPr="00CE12B3">
        <w:t xml:space="preserve">Counsel shall not argue </w:t>
      </w:r>
      <w:r w:rsidR="00FF3A84">
        <w:t>that</w:t>
      </w:r>
      <w:r w:rsidRPr="00CE12B3">
        <w:t xml:space="preserve"> a party or witness fabricated evidence or has lied, absent record evidence to support such an argument. Counsel is strongly cautioned in this regard and should seek guidance from the Court before making any such argument to the jury. </w:t>
      </w:r>
      <w:r w:rsidR="00CA14EB" w:rsidRPr="00CE12B3">
        <w:rPr>
          <w:i/>
          <w:iCs/>
        </w:rPr>
        <w:t>Owens Corning Fiberglass Corp. v. Crane</w:t>
      </w:r>
      <w:r w:rsidR="00CA14EB" w:rsidRPr="00CE12B3">
        <w:t xml:space="preserve">, </w:t>
      </w:r>
      <w:r w:rsidR="00957F38" w:rsidRPr="00CE12B3">
        <w:t>s</w:t>
      </w:r>
      <w:r w:rsidR="00CA14EB" w:rsidRPr="00CE12B3">
        <w:rPr>
          <w:i/>
          <w:iCs/>
        </w:rPr>
        <w:t>upra</w:t>
      </w:r>
      <w:r w:rsidR="00CA14EB" w:rsidRPr="00CE12B3">
        <w:t xml:space="preserve">; </w:t>
      </w:r>
      <w:r w:rsidR="00CA14EB" w:rsidRPr="00CE12B3">
        <w:rPr>
          <w:i/>
          <w:iCs/>
        </w:rPr>
        <w:t xml:space="preserve">Forman v. </w:t>
      </w:r>
      <w:proofErr w:type="spellStart"/>
      <w:r w:rsidR="00CA14EB" w:rsidRPr="00CE12B3">
        <w:rPr>
          <w:i/>
          <w:iCs/>
        </w:rPr>
        <w:t>Wallshein</w:t>
      </w:r>
      <w:proofErr w:type="spellEnd"/>
      <w:r w:rsidR="00CA14EB" w:rsidRPr="00CE12B3">
        <w:t xml:space="preserve">, 671 So. 2d 872 (Fla. 3d DCA 1996). </w:t>
      </w:r>
      <w:r w:rsidR="216C08FE" w:rsidRPr="00CE12B3">
        <w:t>If counsel believes the record supports the argument that the witness lied on the witness stand, then counsel shall demonstrate the same at sidebar before making the argument.</w:t>
      </w:r>
      <w:r w:rsidR="0087444C" w:rsidRPr="00CE12B3">
        <w:t xml:space="preserve"> </w:t>
      </w:r>
    </w:p>
    <w:p w14:paraId="1BEE47EC" w14:textId="77777777" w:rsidR="001524CD" w:rsidRPr="00CE12B3" w:rsidRDefault="001524CD" w:rsidP="001524CD">
      <w:pPr>
        <w:pStyle w:val="ListParagraph"/>
        <w:spacing w:line="360" w:lineRule="auto"/>
      </w:pPr>
    </w:p>
    <w:p w14:paraId="1F49D89E" w14:textId="77777777" w:rsidR="00957F38" w:rsidRPr="00CE12B3" w:rsidRDefault="0087444C" w:rsidP="00AF4A47">
      <w:pPr>
        <w:pStyle w:val="ListParagraph"/>
        <w:numPr>
          <w:ilvl w:val="0"/>
          <w:numId w:val="1"/>
        </w:numPr>
        <w:spacing w:line="360" w:lineRule="auto"/>
        <w:ind w:left="0" w:firstLine="360"/>
        <w:jc w:val="both"/>
      </w:pPr>
      <w:r w:rsidRPr="00CE12B3">
        <w:t>If there is record evidence to support the argument that a witness lied in testimony, such argument shall be restricted to characterizing the witness’ testimony</w:t>
      </w:r>
      <w:r w:rsidR="00FE0737" w:rsidRPr="00CE12B3">
        <w:t xml:space="preserve"> and counsel shall not engage in character assassination nor argue or imply that the witness is a chronic, habitual or pathological liar. </w:t>
      </w:r>
      <w:r w:rsidR="00FE0737" w:rsidRPr="00CE12B3">
        <w:rPr>
          <w:i/>
        </w:rPr>
        <w:t xml:space="preserve">Forman v. </w:t>
      </w:r>
      <w:proofErr w:type="spellStart"/>
      <w:r w:rsidR="00FE0737" w:rsidRPr="00CE12B3">
        <w:rPr>
          <w:i/>
        </w:rPr>
        <w:t>Wallshein</w:t>
      </w:r>
      <w:proofErr w:type="spellEnd"/>
      <w:r w:rsidR="00FE0737" w:rsidRPr="00CE12B3">
        <w:t xml:space="preserve">, </w:t>
      </w:r>
      <w:r w:rsidR="00FE0737" w:rsidRPr="00CE12B3">
        <w:rPr>
          <w:i/>
        </w:rPr>
        <w:t>supra</w:t>
      </w:r>
      <w:r w:rsidR="00FE0737" w:rsidRPr="00CE12B3">
        <w:t xml:space="preserve">. </w:t>
      </w:r>
    </w:p>
    <w:p w14:paraId="6F07DB7E" w14:textId="77777777" w:rsidR="00957F38" w:rsidRPr="00CE12B3" w:rsidRDefault="00957F38" w:rsidP="00206BCF">
      <w:pPr>
        <w:pStyle w:val="ListParagraph"/>
        <w:spacing w:line="360" w:lineRule="auto"/>
      </w:pPr>
    </w:p>
    <w:p w14:paraId="1B7C7686" w14:textId="72ED8C62" w:rsidR="001620B1" w:rsidRPr="00CE12B3" w:rsidRDefault="00957F38" w:rsidP="00206BCF">
      <w:pPr>
        <w:pStyle w:val="ListParagraph"/>
        <w:numPr>
          <w:ilvl w:val="0"/>
          <w:numId w:val="1"/>
        </w:numPr>
        <w:spacing w:line="360" w:lineRule="auto"/>
        <w:ind w:left="0" w:firstLine="360"/>
        <w:jc w:val="both"/>
      </w:pPr>
      <w:r w:rsidRPr="00CE12B3">
        <w:t xml:space="preserve">Counsel shall refrain from commenting on objections made by opposing counsel. </w:t>
      </w:r>
      <w:r w:rsidRPr="00CE12B3">
        <w:rPr>
          <w:i/>
        </w:rPr>
        <w:t>Knight v. State</w:t>
      </w:r>
      <w:r w:rsidRPr="00CE12B3">
        <w:t>, 672 So. 2d 590 (Fla. 4</w:t>
      </w:r>
      <w:r w:rsidRPr="00CE12B3">
        <w:rPr>
          <w:vertAlign w:val="superscript"/>
        </w:rPr>
        <w:t>th</w:t>
      </w:r>
      <w:r w:rsidRPr="00CE12B3">
        <w:t xml:space="preserve"> DCA 1996); </w:t>
      </w:r>
      <w:r w:rsidRPr="00CE12B3">
        <w:rPr>
          <w:i/>
        </w:rPr>
        <w:t xml:space="preserve">Sanchez v. </w:t>
      </w:r>
      <w:r w:rsidR="001620B1" w:rsidRPr="00CE12B3">
        <w:rPr>
          <w:i/>
        </w:rPr>
        <w:t>Bengochea</w:t>
      </w:r>
      <w:r w:rsidR="001620B1" w:rsidRPr="00CE12B3">
        <w:t xml:space="preserve">, 573 So. 2d 992 (Fla. 3d DCA 1991). </w:t>
      </w:r>
    </w:p>
    <w:p w14:paraId="1F97C0A8" w14:textId="77777777" w:rsidR="00206BCF" w:rsidRPr="00CE12B3" w:rsidRDefault="00206BCF" w:rsidP="00206BCF">
      <w:pPr>
        <w:pStyle w:val="ListParagraph"/>
        <w:spacing w:line="360" w:lineRule="auto"/>
      </w:pPr>
    </w:p>
    <w:p w14:paraId="56D54EF1" w14:textId="77777777" w:rsidR="00355D0A" w:rsidRPr="00CE12B3" w:rsidRDefault="001620B1" w:rsidP="00206BCF">
      <w:pPr>
        <w:pStyle w:val="ListParagraph"/>
        <w:numPr>
          <w:ilvl w:val="0"/>
          <w:numId w:val="1"/>
        </w:numPr>
        <w:spacing w:line="360" w:lineRule="auto"/>
        <w:ind w:left="0" w:firstLine="360"/>
        <w:jc w:val="both"/>
      </w:pPr>
      <w:r w:rsidRPr="00CE12B3">
        <w:t xml:space="preserve">Counsel shall not suggest to the jurors that they represent the “conscience of the community” or urge the jury by its verdict to “send a message” to a party or to anyone else. </w:t>
      </w:r>
      <w:r w:rsidRPr="00CE12B3">
        <w:rPr>
          <w:i/>
        </w:rPr>
        <w:t>State Farm Mut. Auto. Ins. Co. v. Revuelta</w:t>
      </w:r>
      <w:r w:rsidRPr="00CE12B3">
        <w:t xml:space="preserve">, 901 </w:t>
      </w:r>
      <w:r w:rsidR="00E50F78" w:rsidRPr="00CE12B3">
        <w:t xml:space="preserve">So. 2d 377 (Fla. 3d DCA 2005); </w:t>
      </w:r>
      <w:r w:rsidR="00E50F78" w:rsidRPr="00CE12B3">
        <w:rPr>
          <w:i/>
        </w:rPr>
        <w:t>Kloster Cruise Ltd. v. Grubbs</w:t>
      </w:r>
      <w:r w:rsidR="00E50F78" w:rsidRPr="00CE12B3">
        <w:t xml:space="preserve">, 762 So. 2d 552 (Fla. 3d DCA 2000); </w:t>
      </w:r>
      <w:r w:rsidR="00E50F78" w:rsidRPr="00CE12B3">
        <w:rPr>
          <w:i/>
        </w:rPr>
        <w:t>D’Auria v. Allstate Insurance Co.</w:t>
      </w:r>
      <w:r w:rsidR="00E50F78" w:rsidRPr="00CE12B3">
        <w:t xml:space="preserve">, </w:t>
      </w:r>
      <w:r w:rsidR="00355D0A" w:rsidRPr="00CE12B3">
        <w:t>673 So. 2d 147 (Fla. 5</w:t>
      </w:r>
      <w:r w:rsidR="00355D0A" w:rsidRPr="00CE12B3">
        <w:rPr>
          <w:vertAlign w:val="superscript"/>
        </w:rPr>
        <w:t>th</w:t>
      </w:r>
      <w:r w:rsidR="00355D0A" w:rsidRPr="00CE12B3">
        <w:t xml:space="preserve"> DCA 1996); </w:t>
      </w:r>
      <w:r w:rsidR="00355D0A" w:rsidRPr="00CE12B3">
        <w:rPr>
          <w:i/>
        </w:rPr>
        <w:t xml:space="preserve">Kiwanis Club of Little Havana, Inc. v. </w:t>
      </w:r>
      <w:proofErr w:type="spellStart"/>
      <w:r w:rsidR="00355D0A" w:rsidRPr="00CE12B3">
        <w:rPr>
          <w:i/>
        </w:rPr>
        <w:t>Kalafe</w:t>
      </w:r>
      <w:proofErr w:type="spellEnd"/>
      <w:r w:rsidR="00355D0A" w:rsidRPr="00CE12B3">
        <w:t xml:space="preserve">, 723 So. 2d 838 (Fla. 3d DCA 1998); </w:t>
      </w:r>
      <w:proofErr w:type="spellStart"/>
      <w:r w:rsidR="00355D0A" w:rsidRPr="00CE12B3">
        <w:rPr>
          <w:i/>
        </w:rPr>
        <w:t>Maercks</w:t>
      </w:r>
      <w:proofErr w:type="spellEnd"/>
      <w:r w:rsidR="00355D0A" w:rsidRPr="00CE12B3">
        <w:rPr>
          <w:i/>
        </w:rPr>
        <w:t xml:space="preserve"> v. Birchansky</w:t>
      </w:r>
      <w:r w:rsidR="00355D0A" w:rsidRPr="00CE12B3">
        <w:t>, 549 So. 2d 199 (Fla. 3d DCA 1989).</w:t>
      </w:r>
    </w:p>
    <w:p w14:paraId="50425961" w14:textId="77777777" w:rsidR="00355D0A" w:rsidRPr="00CE12B3" w:rsidRDefault="00355D0A" w:rsidP="001524CD">
      <w:pPr>
        <w:pStyle w:val="ListParagraph"/>
        <w:spacing w:line="360" w:lineRule="auto"/>
      </w:pPr>
    </w:p>
    <w:p w14:paraId="1C6BB24F" w14:textId="77777777" w:rsidR="00734418" w:rsidRPr="00CE12B3" w:rsidRDefault="00D44AEC" w:rsidP="00AF4A47">
      <w:pPr>
        <w:pStyle w:val="ListParagraph"/>
        <w:numPr>
          <w:ilvl w:val="0"/>
          <w:numId w:val="1"/>
        </w:numPr>
        <w:spacing w:line="360" w:lineRule="auto"/>
        <w:ind w:left="0" w:firstLine="360"/>
        <w:jc w:val="both"/>
      </w:pPr>
      <w:r w:rsidRPr="00CE12B3">
        <w:t xml:space="preserve">Counsel shall not attempt to sway the jury by playing upon juror’s sympathy, fears, biases or prejudices. </w:t>
      </w:r>
      <w:r w:rsidR="00734418" w:rsidRPr="00CE12B3">
        <w:rPr>
          <w:i/>
        </w:rPr>
        <w:t xml:space="preserve">Kiwanis Club of Little Havana, Inc. v. </w:t>
      </w:r>
      <w:proofErr w:type="spellStart"/>
      <w:r w:rsidR="00734418" w:rsidRPr="00CE12B3">
        <w:rPr>
          <w:i/>
        </w:rPr>
        <w:t>Kalafe</w:t>
      </w:r>
      <w:proofErr w:type="spellEnd"/>
      <w:r w:rsidR="00734418" w:rsidRPr="00CE12B3">
        <w:t xml:space="preserve">, </w:t>
      </w:r>
      <w:r w:rsidR="00734418" w:rsidRPr="00CE12B3">
        <w:rPr>
          <w:i/>
        </w:rPr>
        <w:t>supra</w:t>
      </w:r>
      <w:r w:rsidR="00734418" w:rsidRPr="00CE12B3">
        <w:t xml:space="preserve">; </w:t>
      </w:r>
      <w:r w:rsidR="00734418" w:rsidRPr="00CE12B3">
        <w:rPr>
          <w:i/>
        </w:rPr>
        <w:t>Russell, Inc. v. Trento</w:t>
      </w:r>
      <w:r w:rsidR="00734418" w:rsidRPr="00CE12B3">
        <w:t xml:space="preserve">, 445 So. 2d 390 (Fla. 3d DCA 1984); </w:t>
      </w:r>
      <w:r w:rsidR="00734418" w:rsidRPr="00CE12B3">
        <w:rPr>
          <w:i/>
        </w:rPr>
        <w:t>Levin v. Hanks</w:t>
      </w:r>
      <w:r w:rsidR="00734418" w:rsidRPr="00CE12B3">
        <w:t>, 356 So. 2d 21 (Fla. 4</w:t>
      </w:r>
      <w:r w:rsidR="00734418" w:rsidRPr="00CE12B3">
        <w:rPr>
          <w:vertAlign w:val="superscript"/>
        </w:rPr>
        <w:t>th</w:t>
      </w:r>
      <w:r w:rsidR="00734418" w:rsidRPr="00CE12B3">
        <w:t xml:space="preserve"> DCA 1978). </w:t>
      </w:r>
    </w:p>
    <w:p w14:paraId="6AA452E5" w14:textId="77777777" w:rsidR="00734418" w:rsidRPr="00CE12B3" w:rsidRDefault="00734418" w:rsidP="001524CD">
      <w:pPr>
        <w:pStyle w:val="ListParagraph"/>
        <w:spacing w:line="360" w:lineRule="auto"/>
      </w:pPr>
    </w:p>
    <w:p w14:paraId="3D0CFEFF" w14:textId="77777777" w:rsidR="00842353" w:rsidRPr="00CE12B3" w:rsidRDefault="00F34C99" w:rsidP="00AF4A47">
      <w:pPr>
        <w:pStyle w:val="ListParagraph"/>
        <w:numPr>
          <w:ilvl w:val="0"/>
          <w:numId w:val="1"/>
        </w:numPr>
        <w:spacing w:line="360" w:lineRule="auto"/>
        <w:ind w:left="0" w:firstLine="360"/>
        <w:jc w:val="both"/>
      </w:pPr>
      <w:r w:rsidRPr="00CE12B3">
        <w:lastRenderedPageBreak/>
        <w:t xml:space="preserve">Counsel shall avoid making arguments intended to improperly elicit prejudice, sympathy or excessive emotion from the jury. </w:t>
      </w:r>
      <w:r w:rsidRPr="00CE12B3">
        <w:rPr>
          <w:i/>
        </w:rPr>
        <w:t xml:space="preserve">Walt Disney v. </w:t>
      </w:r>
      <w:proofErr w:type="spellStart"/>
      <w:r w:rsidRPr="00CE12B3">
        <w:rPr>
          <w:i/>
        </w:rPr>
        <w:t>Vlatock</w:t>
      </w:r>
      <w:proofErr w:type="spellEnd"/>
      <w:r w:rsidRPr="00CE12B3">
        <w:t>, 640 So. 2d 1156 (Fla. 5</w:t>
      </w:r>
      <w:r w:rsidRPr="00CE12B3">
        <w:rPr>
          <w:vertAlign w:val="superscript"/>
        </w:rPr>
        <w:t>th</w:t>
      </w:r>
      <w:r w:rsidRPr="00CE12B3">
        <w:t xml:space="preserve"> DCA 1994); </w:t>
      </w:r>
      <w:r w:rsidRPr="00CE12B3">
        <w:rPr>
          <w:i/>
        </w:rPr>
        <w:t>Fowler v. N. Goldring</w:t>
      </w:r>
      <w:r w:rsidR="00842353" w:rsidRPr="00CE12B3">
        <w:rPr>
          <w:i/>
        </w:rPr>
        <w:t xml:space="preserve"> Corp.</w:t>
      </w:r>
      <w:r w:rsidR="00842353" w:rsidRPr="00CE12B3">
        <w:t>, 582 So. 2d 802 (Fla. 1</w:t>
      </w:r>
      <w:r w:rsidR="00842353" w:rsidRPr="00CE12B3">
        <w:rPr>
          <w:vertAlign w:val="superscript"/>
        </w:rPr>
        <w:t>st</w:t>
      </w:r>
      <w:r w:rsidR="00842353" w:rsidRPr="00CE12B3">
        <w:t xml:space="preserve"> DCA 1991). </w:t>
      </w:r>
    </w:p>
    <w:p w14:paraId="2829C06E" w14:textId="77777777" w:rsidR="00206BCF" w:rsidRPr="00CE12B3" w:rsidRDefault="00206BCF" w:rsidP="001524CD">
      <w:pPr>
        <w:pStyle w:val="ListParagraph"/>
        <w:spacing w:line="360" w:lineRule="auto"/>
      </w:pPr>
    </w:p>
    <w:p w14:paraId="1974DB9E" w14:textId="77777777" w:rsidR="00586BEE" w:rsidRPr="00CE12B3" w:rsidRDefault="00DC57F7" w:rsidP="00AF4A47">
      <w:pPr>
        <w:pStyle w:val="ListParagraph"/>
        <w:numPr>
          <w:ilvl w:val="0"/>
          <w:numId w:val="1"/>
        </w:numPr>
        <w:spacing w:line="360" w:lineRule="auto"/>
        <w:ind w:left="0" w:firstLine="360"/>
        <w:jc w:val="both"/>
      </w:pPr>
      <w:r w:rsidRPr="00CE12B3">
        <w:t xml:space="preserve">Counsel shall not attempt to evoke images of “runaway verdicts”, assert that a claim or defense is “frivolous”, characterize plaintiff’s case as “cashing in on a lottery ticket” or argue that the judicial system is “out of control.” </w:t>
      </w:r>
      <w:r w:rsidRPr="00CE12B3">
        <w:rPr>
          <w:i/>
        </w:rPr>
        <w:t>Murphy v. International Robotic Systems Inc.</w:t>
      </w:r>
      <w:r w:rsidRPr="00CE12B3">
        <w:t xml:space="preserve">, 766 So. 2d 1010 (Fla. 2000); </w:t>
      </w:r>
      <w:r w:rsidRPr="00CE12B3">
        <w:rPr>
          <w:i/>
        </w:rPr>
        <w:t>Norman v. Gloria</w:t>
      </w:r>
      <w:r w:rsidR="00D367EC" w:rsidRPr="00CE12B3">
        <w:rPr>
          <w:i/>
        </w:rPr>
        <w:t xml:space="preserve"> Farms</w:t>
      </w:r>
      <w:r w:rsidRPr="00CE12B3">
        <w:rPr>
          <w:i/>
        </w:rPr>
        <w:t>,</w:t>
      </w:r>
      <w:r w:rsidR="00D367EC" w:rsidRPr="00CE12B3">
        <w:rPr>
          <w:i/>
        </w:rPr>
        <w:t xml:space="preserve"> Inc., </w:t>
      </w:r>
      <w:r w:rsidR="00D367EC" w:rsidRPr="00CE12B3">
        <w:t>668 So. 2d 1016 (Fla. 4</w:t>
      </w:r>
      <w:r w:rsidR="00D367EC" w:rsidRPr="00CE12B3">
        <w:rPr>
          <w:vertAlign w:val="superscript"/>
        </w:rPr>
        <w:t>th</w:t>
      </w:r>
      <w:r w:rsidR="00D367EC" w:rsidRPr="00CE12B3">
        <w:t xml:space="preserve"> DCA 1996); </w:t>
      </w:r>
      <w:r w:rsidR="00D367EC" w:rsidRPr="00CE12B3">
        <w:rPr>
          <w:i/>
        </w:rPr>
        <w:t xml:space="preserve">Bellsouth Human Resources Admin., Inc. v. </w:t>
      </w:r>
      <w:proofErr w:type="spellStart"/>
      <w:r w:rsidR="009C18B2" w:rsidRPr="00CE12B3">
        <w:rPr>
          <w:i/>
        </w:rPr>
        <w:t>C</w:t>
      </w:r>
      <w:r w:rsidR="00D367EC" w:rsidRPr="00CE12B3">
        <w:rPr>
          <w:i/>
        </w:rPr>
        <w:t>olatarci</w:t>
      </w:r>
      <w:proofErr w:type="spellEnd"/>
      <w:r w:rsidR="00D367EC" w:rsidRPr="00CE12B3">
        <w:t xml:space="preserve">, </w:t>
      </w:r>
      <w:r w:rsidR="00586BEE" w:rsidRPr="00CE12B3">
        <w:t>641 So. 2d 427 (Fla. 4</w:t>
      </w:r>
      <w:r w:rsidR="00586BEE" w:rsidRPr="00CE12B3">
        <w:rPr>
          <w:vertAlign w:val="superscript"/>
        </w:rPr>
        <w:t>th</w:t>
      </w:r>
      <w:r w:rsidR="00586BEE" w:rsidRPr="00CE12B3">
        <w:t xml:space="preserve"> DCA 1994).</w:t>
      </w:r>
    </w:p>
    <w:p w14:paraId="3319EFBA" w14:textId="77777777" w:rsidR="00586BEE" w:rsidRPr="00CE12B3" w:rsidRDefault="00586BEE" w:rsidP="001524CD">
      <w:pPr>
        <w:pStyle w:val="ListParagraph"/>
        <w:spacing w:line="360" w:lineRule="auto"/>
      </w:pPr>
    </w:p>
    <w:p w14:paraId="050E764F" w14:textId="77777777" w:rsidR="00D00E2F" w:rsidRPr="00CE12B3" w:rsidRDefault="00586BEE" w:rsidP="00AF4A47">
      <w:pPr>
        <w:pStyle w:val="ListParagraph"/>
        <w:numPr>
          <w:ilvl w:val="0"/>
          <w:numId w:val="1"/>
        </w:numPr>
        <w:spacing w:line="360" w:lineRule="auto"/>
        <w:ind w:left="0" w:firstLine="360"/>
        <w:jc w:val="both"/>
      </w:pPr>
      <w:r w:rsidRPr="00CE12B3">
        <w:t xml:space="preserve">Counsel shall not argue that it is common in closing argument for a plaintiff to ask for more money than they think they are entitled to, or to ask for much more money than they think a jury would actually award. </w:t>
      </w:r>
      <w:r w:rsidRPr="00CE12B3">
        <w:rPr>
          <w:i/>
        </w:rPr>
        <w:t>Donaldson v. Cenac</w:t>
      </w:r>
      <w:r w:rsidRPr="00CE12B3">
        <w:t>, 675 So. 2d 228 (Fla. 1</w:t>
      </w:r>
      <w:r w:rsidRPr="00CE12B3">
        <w:rPr>
          <w:vertAlign w:val="superscript"/>
        </w:rPr>
        <w:t>st</w:t>
      </w:r>
      <w:r w:rsidRPr="00CE12B3">
        <w:t xml:space="preserve"> DCA 1996); </w:t>
      </w:r>
      <w:proofErr w:type="spellStart"/>
      <w:r w:rsidRPr="00CE12B3">
        <w:rPr>
          <w:i/>
        </w:rPr>
        <w:t>Leberge</w:t>
      </w:r>
      <w:proofErr w:type="spellEnd"/>
      <w:r w:rsidRPr="00CE12B3">
        <w:rPr>
          <w:i/>
        </w:rPr>
        <w:t xml:space="preserve"> </w:t>
      </w:r>
      <w:r w:rsidR="00B96CC5" w:rsidRPr="00CE12B3">
        <w:rPr>
          <w:i/>
        </w:rPr>
        <w:t xml:space="preserve">v. </w:t>
      </w:r>
      <w:r w:rsidRPr="00CE12B3">
        <w:rPr>
          <w:i/>
        </w:rPr>
        <w:t>Vancleave</w:t>
      </w:r>
      <w:r w:rsidR="00B96CC5" w:rsidRPr="00CE12B3">
        <w:t>,</w:t>
      </w:r>
      <w:r w:rsidRPr="00CE12B3">
        <w:t xml:space="preserve"> </w:t>
      </w:r>
      <w:r w:rsidR="00D00E2F" w:rsidRPr="00CE12B3">
        <w:t>534 So. 2d 1176 (Fla. 5</w:t>
      </w:r>
      <w:r w:rsidR="00D00E2F" w:rsidRPr="00CE12B3">
        <w:rPr>
          <w:vertAlign w:val="superscript"/>
        </w:rPr>
        <w:t>th</w:t>
      </w:r>
      <w:r w:rsidR="00D00E2F" w:rsidRPr="00CE12B3">
        <w:t xml:space="preserve"> DCA 1988); </w:t>
      </w:r>
      <w:r w:rsidR="00D00E2F" w:rsidRPr="00CE12B3">
        <w:rPr>
          <w:i/>
        </w:rPr>
        <w:t>Hartford Accident and Indemnity Co. v. Ocha</w:t>
      </w:r>
      <w:r w:rsidR="00D00E2F" w:rsidRPr="00CE12B3">
        <w:t>, 472 So. 2d 1338 (Fla. 4</w:t>
      </w:r>
      <w:r w:rsidR="00D00E2F" w:rsidRPr="00CE12B3">
        <w:rPr>
          <w:vertAlign w:val="superscript"/>
        </w:rPr>
        <w:t>th</w:t>
      </w:r>
      <w:r w:rsidR="00D00E2F" w:rsidRPr="00CE12B3">
        <w:t xml:space="preserve"> DCA 1985). </w:t>
      </w:r>
    </w:p>
    <w:p w14:paraId="16DD6FF8" w14:textId="77777777" w:rsidR="00AF4A47" w:rsidRPr="00CE12B3" w:rsidRDefault="00AF4A47" w:rsidP="00AF4A47">
      <w:pPr>
        <w:spacing w:line="360" w:lineRule="auto"/>
        <w:jc w:val="both"/>
      </w:pPr>
    </w:p>
    <w:p w14:paraId="481D4A92" w14:textId="77777777" w:rsidR="00904F51" w:rsidRPr="00CE12B3" w:rsidRDefault="00875382" w:rsidP="00714300">
      <w:pPr>
        <w:pStyle w:val="ListParagraph"/>
        <w:numPr>
          <w:ilvl w:val="0"/>
          <w:numId w:val="1"/>
        </w:numPr>
        <w:spacing w:line="360" w:lineRule="auto"/>
        <w:ind w:left="0" w:firstLine="360"/>
        <w:jc w:val="both"/>
      </w:pPr>
      <w:r w:rsidRPr="00CE12B3">
        <w:t xml:space="preserve">Counsel’s arguments and comparisons should have some logical nexus in deduction or analogy to the evidence and facts in the instant case. </w:t>
      </w:r>
      <w:r w:rsidRPr="00CE12B3">
        <w:rPr>
          <w:i/>
        </w:rPr>
        <w:t>Wright</w:t>
      </w:r>
      <w:r w:rsidR="00904F51" w:rsidRPr="00CE12B3">
        <w:rPr>
          <w:i/>
        </w:rPr>
        <w:t xml:space="preserve"> &amp; </w:t>
      </w:r>
      <w:r w:rsidRPr="00CE12B3">
        <w:rPr>
          <w:i/>
        </w:rPr>
        <w:t>Ford Millworks v. Long</w:t>
      </w:r>
      <w:r w:rsidRPr="00CE12B3">
        <w:t xml:space="preserve">, </w:t>
      </w:r>
      <w:r w:rsidR="00904F51" w:rsidRPr="00CE12B3">
        <w:t>412 So. 2d 892 (Fla. 5</w:t>
      </w:r>
      <w:r w:rsidR="00904F51" w:rsidRPr="00CE12B3">
        <w:rPr>
          <w:vertAlign w:val="superscript"/>
        </w:rPr>
        <w:t>th</w:t>
      </w:r>
      <w:r w:rsidR="00904F51" w:rsidRPr="00CE12B3">
        <w:t xml:space="preserve"> DCA 1982) (i.e. no references to famous people or well-known verdicts). </w:t>
      </w:r>
    </w:p>
    <w:p w14:paraId="26C295D6" w14:textId="6E300DF2" w:rsidR="00AD5A8F" w:rsidRPr="00CE12B3" w:rsidRDefault="00AD5A8F" w:rsidP="00904F51">
      <w:pPr>
        <w:spacing w:line="360" w:lineRule="auto"/>
        <w:jc w:val="both"/>
      </w:pPr>
    </w:p>
    <w:p w14:paraId="11FB0192" w14:textId="77777777" w:rsidR="002D3B73" w:rsidRPr="00CE12B3" w:rsidRDefault="00BB7BD3" w:rsidP="00714300">
      <w:pPr>
        <w:pStyle w:val="ListParagraph"/>
        <w:numPr>
          <w:ilvl w:val="0"/>
          <w:numId w:val="1"/>
        </w:numPr>
        <w:spacing w:line="360" w:lineRule="auto"/>
        <w:ind w:left="0" w:firstLine="360"/>
        <w:jc w:val="both"/>
      </w:pPr>
      <w:r w:rsidRPr="00CE12B3">
        <w:t xml:space="preserve">Counsel shall not attempt to argue facts not in evidence or imply that counsel is aware of the existence of evidence or testimony </w:t>
      </w:r>
      <w:r w:rsidR="00466ECC" w:rsidRPr="00CE12B3">
        <w:t xml:space="preserve">not introduced at trial. </w:t>
      </w:r>
      <w:r w:rsidR="00466ECC" w:rsidRPr="00CE12B3">
        <w:rPr>
          <w:i/>
        </w:rPr>
        <w:t>Ruiz v. State</w:t>
      </w:r>
      <w:r w:rsidR="00466ECC" w:rsidRPr="00CE12B3">
        <w:t xml:space="preserve">, 743 So. 2d 1 (Fla. 1999); </w:t>
      </w:r>
      <w:r w:rsidR="00466ECC" w:rsidRPr="00CE12B3">
        <w:rPr>
          <w:i/>
        </w:rPr>
        <w:t>Carroll v. Dodsworth</w:t>
      </w:r>
      <w:r w:rsidR="00466ECC" w:rsidRPr="00CE12B3">
        <w:t>, 565 So. 2d 346 (Fla. 1</w:t>
      </w:r>
      <w:r w:rsidR="00466ECC" w:rsidRPr="00CE12B3">
        <w:rPr>
          <w:vertAlign w:val="superscript"/>
        </w:rPr>
        <w:t>st</w:t>
      </w:r>
      <w:r w:rsidR="00466ECC" w:rsidRPr="00CE12B3">
        <w:t xml:space="preserve"> DCA 1990); </w:t>
      </w:r>
      <w:proofErr w:type="spellStart"/>
      <w:r w:rsidR="00466ECC" w:rsidRPr="00CE12B3">
        <w:rPr>
          <w:i/>
        </w:rPr>
        <w:t>Maercks</w:t>
      </w:r>
      <w:proofErr w:type="spellEnd"/>
      <w:r w:rsidR="00466ECC" w:rsidRPr="00CE12B3">
        <w:rPr>
          <w:i/>
        </w:rPr>
        <w:t xml:space="preserve"> v. Birchansky</w:t>
      </w:r>
      <w:r w:rsidR="00466ECC" w:rsidRPr="00CE12B3">
        <w:t>,</w:t>
      </w:r>
      <w:r w:rsidR="002D3B73" w:rsidRPr="00CE12B3">
        <w:t xml:space="preserve"> 549 So. 2d 199 (Fla. 3d DCA 1989); </w:t>
      </w:r>
      <w:r w:rsidR="002D3B73" w:rsidRPr="00CE12B3">
        <w:rPr>
          <w:i/>
        </w:rPr>
        <w:t>Carnival Cruise Lines, Inc. v. Rosania</w:t>
      </w:r>
      <w:r w:rsidR="002D3B73" w:rsidRPr="00CE12B3">
        <w:t xml:space="preserve">, </w:t>
      </w:r>
      <w:r w:rsidR="002D3B73" w:rsidRPr="00CE12B3">
        <w:rPr>
          <w:i/>
        </w:rPr>
        <w:t>supra</w:t>
      </w:r>
      <w:r w:rsidR="002D3B73" w:rsidRPr="00CE12B3">
        <w:t xml:space="preserve">; Florida Rule of Professional Conduct 4-3.4(e). </w:t>
      </w:r>
    </w:p>
    <w:p w14:paraId="6577F4CF" w14:textId="77777777" w:rsidR="002D3B73" w:rsidRPr="00CE12B3" w:rsidRDefault="002D3B73" w:rsidP="002D3B73">
      <w:pPr>
        <w:spacing w:line="360" w:lineRule="auto"/>
        <w:jc w:val="both"/>
      </w:pPr>
    </w:p>
    <w:p w14:paraId="45F7A0EF" w14:textId="77777777" w:rsidR="002D3B73" w:rsidRPr="00CE12B3" w:rsidRDefault="00CE07A9" w:rsidP="00714300">
      <w:pPr>
        <w:pStyle w:val="ListParagraph"/>
        <w:numPr>
          <w:ilvl w:val="0"/>
          <w:numId w:val="1"/>
        </w:numPr>
        <w:spacing w:line="360" w:lineRule="auto"/>
        <w:ind w:left="0" w:firstLine="360"/>
        <w:jc w:val="both"/>
      </w:pPr>
      <w:r w:rsidRPr="00CE12B3">
        <w:t xml:space="preserve">Counsel shall avoid making arguments that are not based on facts in evidence or reasonable inferences that can be drawn therefrom. </w:t>
      </w:r>
      <w:r w:rsidRPr="00CE12B3">
        <w:rPr>
          <w:i/>
        </w:rPr>
        <w:t>Baptist Hospital v. Rawson</w:t>
      </w:r>
      <w:r w:rsidRPr="00CE12B3">
        <w:t xml:space="preserve">, </w:t>
      </w:r>
      <w:r w:rsidR="00616428" w:rsidRPr="00CE12B3">
        <w:t>674 So. 2d 777 (Fla. 1</w:t>
      </w:r>
      <w:r w:rsidR="00616428" w:rsidRPr="00CE12B3">
        <w:rPr>
          <w:vertAlign w:val="superscript"/>
        </w:rPr>
        <w:t>st</w:t>
      </w:r>
      <w:r w:rsidR="00616428" w:rsidRPr="00CE12B3">
        <w:t xml:space="preserve"> DCA 1996); </w:t>
      </w:r>
      <w:r w:rsidR="00616428" w:rsidRPr="00CE12B3">
        <w:rPr>
          <w:i/>
        </w:rPr>
        <w:t>Cardona v. Gutierrez</w:t>
      </w:r>
      <w:r w:rsidR="00616428" w:rsidRPr="00CE12B3">
        <w:t>, 562 So. 2d 766 (Fla. 4</w:t>
      </w:r>
      <w:r w:rsidR="00616428" w:rsidRPr="00CE12B3">
        <w:rPr>
          <w:vertAlign w:val="superscript"/>
        </w:rPr>
        <w:t>th</w:t>
      </w:r>
      <w:r w:rsidR="00616428" w:rsidRPr="00CE12B3">
        <w:t xml:space="preserve"> DCA 1990). </w:t>
      </w:r>
    </w:p>
    <w:p w14:paraId="47E5D4B4" w14:textId="77777777" w:rsidR="00616428" w:rsidRPr="00CE12B3" w:rsidRDefault="00616428" w:rsidP="001524CD">
      <w:pPr>
        <w:pStyle w:val="ListParagraph"/>
        <w:spacing w:line="360" w:lineRule="auto"/>
      </w:pPr>
    </w:p>
    <w:p w14:paraId="571DDC19" w14:textId="77777777" w:rsidR="00003DFA" w:rsidRPr="00CE12B3" w:rsidRDefault="005340BD" w:rsidP="00714300">
      <w:pPr>
        <w:pStyle w:val="ListParagraph"/>
        <w:numPr>
          <w:ilvl w:val="0"/>
          <w:numId w:val="1"/>
        </w:numPr>
        <w:spacing w:line="360" w:lineRule="auto"/>
        <w:ind w:left="0" w:firstLine="360"/>
        <w:jc w:val="both"/>
      </w:pPr>
      <w:r w:rsidRPr="00CE12B3">
        <w:t xml:space="preserve">Counsel shall not argue what other lawyers, parties, witnesses or juries have done </w:t>
      </w:r>
      <w:r w:rsidR="00DC21F3" w:rsidRPr="00CE12B3">
        <w:t xml:space="preserve">in other </w:t>
      </w:r>
      <w:r w:rsidR="00DC21F3" w:rsidRPr="00CE12B3">
        <w:lastRenderedPageBreak/>
        <w:t xml:space="preserve">cases, if such evidence has not been properly introduced at trial. </w:t>
      </w:r>
      <w:r w:rsidR="00DC21F3" w:rsidRPr="00CE12B3">
        <w:rPr>
          <w:i/>
        </w:rPr>
        <w:t>Baptist Hospital Inc. v. Rawson</w:t>
      </w:r>
      <w:r w:rsidR="00DC21F3" w:rsidRPr="00CE12B3">
        <w:t>, 674 So. 2d 777 (Fla. 1</w:t>
      </w:r>
      <w:r w:rsidR="00DC21F3" w:rsidRPr="00CE12B3">
        <w:rPr>
          <w:vertAlign w:val="superscript"/>
        </w:rPr>
        <w:t>st</w:t>
      </w:r>
      <w:r w:rsidR="00DC21F3" w:rsidRPr="00CE12B3">
        <w:t xml:space="preserve"> DCA 1996); </w:t>
      </w:r>
      <w:r w:rsidR="00DC21F3" w:rsidRPr="00CE12B3">
        <w:rPr>
          <w:i/>
        </w:rPr>
        <w:t>Martino v. Metropolitan Dade County</w:t>
      </w:r>
      <w:r w:rsidR="00DC21F3" w:rsidRPr="00CE12B3">
        <w:t xml:space="preserve">, 655 So. 2d 151 (Fla. 3d DCA 1995); </w:t>
      </w:r>
      <w:r w:rsidR="00DC21F3" w:rsidRPr="00CE12B3">
        <w:rPr>
          <w:i/>
        </w:rPr>
        <w:t>Walt Disney World v. Blaylock</w:t>
      </w:r>
      <w:r w:rsidR="00DC21F3" w:rsidRPr="00CE12B3">
        <w:t xml:space="preserve">, </w:t>
      </w:r>
      <w:r w:rsidR="00003DFA" w:rsidRPr="00CE12B3">
        <w:rPr>
          <w:i/>
        </w:rPr>
        <w:t>supra</w:t>
      </w:r>
      <w:r w:rsidR="00003DFA" w:rsidRPr="00CE12B3">
        <w:t>;</w:t>
      </w:r>
      <w:r w:rsidRPr="00CE12B3">
        <w:t xml:space="preserve"> </w:t>
      </w:r>
      <w:r w:rsidR="00003DFA" w:rsidRPr="00CE12B3">
        <w:rPr>
          <w:i/>
        </w:rPr>
        <w:t>Silva v. Nightingale</w:t>
      </w:r>
      <w:r w:rsidR="00003DFA" w:rsidRPr="00CE12B3">
        <w:t>, 619 So. 2d 4 (Fla. 5</w:t>
      </w:r>
      <w:r w:rsidR="00003DFA" w:rsidRPr="00CE12B3">
        <w:rPr>
          <w:vertAlign w:val="superscript"/>
        </w:rPr>
        <w:t>th</w:t>
      </w:r>
      <w:r w:rsidR="00003DFA" w:rsidRPr="00CE12B3">
        <w:t xml:space="preserve"> DCA 1993).</w:t>
      </w:r>
    </w:p>
    <w:p w14:paraId="2F919BB3" w14:textId="77777777" w:rsidR="00003DFA" w:rsidRPr="00CE12B3" w:rsidRDefault="00003DFA" w:rsidP="001524CD">
      <w:pPr>
        <w:pStyle w:val="ListParagraph"/>
        <w:spacing w:line="360" w:lineRule="auto"/>
      </w:pPr>
    </w:p>
    <w:p w14:paraId="000EFC18" w14:textId="77777777" w:rsidR="009369F7" w:rsidRDefault="00003DFA" w:rsidP="00714300">
      <w:pPr>
        <w:pStyle w:val="ListParagraph"/>
        <w:numPr>
          <w:ilvl w:val="0"/>
          <w:numId w:val="1"/>
        </w:numPr>
        <w:spacing w:line="360" w:lineRule="auto"/>
        <w:ind w:left="0" w:firstLine="360"/>
        <w:jc w:val="both"/>
      </w:pPr>
      <w:r w:rsidRPr="00CE12B3">
        <w:t xml:space="preserve">Counsel shall not make any comments regarding a prior settlement with a former party to the case. </w:t>
      </w:r>
      <w:r w:rsidR="009C18B2" w:rsidRPr="00CE12B3">
        <w:rPr>
          <w:i/>
        </w:rPr>
        <w:t>Muhammed v. Toys “R” Us, Inc.,</w:t>
      </w:r>
      <w:r w:rsidRPr="00CE12B3">
        <w:t xml:space="preserve"> 668 So. 2d 254 (Fla. 1</w:t>
      </w:r>
      <w:r w:rsidRPr="00CE12B3">
        <w:rPr>
          <w:vertAlign w:val="superscript"/>
        </w:rPr>
        <w:t>st</w:t>
      </w:r>
      <w:r w:rsidRPr="00CE12B3">
        <w:t xml:space="preserve"> DCA 1996); Fla. Stat. §</w:t>
      </w:r>
      <w:r w:rsidR="007F4863" w:rsidRPr="00CE12B3">
        <w:t>768.041.</w:t>
      </w:r>
      <w:r w:rsidR="007F4863" w:rsidRPr="00CE12B3">
        <w:rPr>
          <w:rStyle w:val="FootnoteReference"/>
        </w:rPr>
        <w:footnoteReference w:id="2"/>
      </w:r>
      <w:r w:rsidRPr="00CE12B3">
        <w:t xml:space="preserve"> </w:t>
      </w:r>
    </w:p>
    <w:p w14:paraId="6A56CF2A" w14:textId="77777777" w:rsidR="008572E5" w:rsidRDefault="008572E5" w:rsidP="008572E5">
      <w:pPr>
        <w:pStyle w:val="ListParagraph"/>
      </w:pPr>
    </w:p>
    <w:p w14:paraId="7D0071D9" w14:textId="77777777" w:rsidR="009369F7" w:rsidRPr="00CE12B3" w:rsidRDefault="009369F7" w:rsidP="00714300">
      <w:pPr>
        <w:pStyle w:val="ListParagraph"/>
        <w:numPr>
          <w:ilvl w:val="0"/>
          <w:numId w:val="1"/>
        </w:numPr>
        <w:spacing w:line="360" w:lineRule="auto"/>
        <w:ind w:left="0" w:firstLine="360"/>
        <w:jc w:val="both"/>
      </w:pPr>
      <w:r w:rsidRPr="00CE12B3">
        <w:t xml:space="preserve">Counsel shall not </w:t>
      </w:r>
      <w:proofErr w:type="gramStart"/>
      <w:r w:rsidRPr="00CE12B3">
        <w:t>make reference</w:t>
      </w:r>
      <w:proofErr w:type="gramEnd"/>
      <w:r w:rsidRPr="00CE12B3">
        <w:t xml:space="preserve"> to any settlement offers made to an opposing party or the existence or nature of any settlement discussions. </w:t>
      </w:r>
      <w:r w:rsidRPr="00CE12B3">
        <w:rPr>
          <w:i/>
        </w:rPr>
        <w:t xml:space="preserve">Sullivan v. </w:t>
      </w:r>
      <w:proofErr w:type="spellStart"/>
      <w:r w:rsidRPr="00CE12B3">
        <w:rPr>
          <w:i/>
        </w:rPr>
        <w:t>Galske</w:t>
      </w:r>
      <w:proofErr w:type="spellEnd"/>
      <w:r w:rsidRPr="00CE12B3">
        <w:t xml:space="preserve">, 917 So. 2d 412 (Fla. 2d DCA 2006); Fla. Stat. §90.408. </w:t>
      </w:r>
    </w:p>
    <w:p w14:paraId="5B122B9B" w14:textId="77777777" w:rsidR="00816045" w:rsidRPr="00CE12B3" w:rsidRDefault="00816045" w:rsidP="00816045">
      <w:pPr>
        <w:pStyle w:val="ListParagraph"/>
        <w:spacing w:line="360" w:lineRule="auto"/>
      </w:pPr>
    </w:p>
    <w:p w14:paraId="12B8CCC0" w14:textId="77777777" w:rsidR="00883949" w:rsidRPr="00CE12B3" w:rsidRDefault="00123566" w:rsidP="00714300">
      <w:pPr>
        <w:pStyle w:val="ListParagraph"/>
        <w:numPr>
          <w:ilvl w:val="0"/>
          <w:numId w:val="1"/>
        </w:numPr>
        <w:spacing w:line="360" w:lineRule="auto"/>
        <w:ind w:left="0" w:firstLine="360"/>
        <w:jc w:val="both"/>
      </w:pPr>
      <w:r w:rsidRPr="00CE12B3">
        <w:t xml:space="preserve">Counsel shall not ask the jury to consider the relative wealth or financial conditions of the </w:t>
      </w:r>
      <w:proofErr w:type="gramStart"/>
      <w:r w:rsidRPr="00CE12B3">
        <w:t>parties, or</w:t>
      </w:r>
      <w:proofErr w:type="gramEnd"/>
      <w:r w:rsidRPr="00CE12B3">
        <w:t xml:space="preserve"> ask the jury to consider how a verdict might impact a party’s </w:t>
      </w:r>
      <w:proofErr w:type="gramStart"/>
      <w:r w:rsidRPr="00CE12B3">
        <w:t>economic</w:t>
      </w:r>
      <w:proofErr w:type="gramEnd"/>
      <w:r w:rsidRPr="00CE12B3">
        <w:t>, employment or professional status.</w:t>
      </w:r>
      <w:r w:rsidRPr="00CE12B3">
        <w:rPr>
          <w:rStyle w:val="FootnoteReference"/>
        </w:rPr>
        <w:footnoteReference w:id="3"/>
      </w:r>
      <w:r w:rsidRPr="00CE12B3">
        <w:t xml:space="preserve"> </w:t>
      </w:r>
      <w:r w:rsidR="003345F4" w:rsidRPr="00CE12B3">
        <w:rPr>
          <w:i/>
        </w:rPr>
        <w:t>State Farm Mut. Auto. Ins. Co. v. Revuelta</w:t>
      </w:r>
      <w:r w:rsidR="003345F4" w:rsidRPr="00CE12B3">
        <w:t xml:space="preserve">, </w:t>
      </w:r>
      <w:r w:rsidR="003345F4" w:rsidRPr="00CE12B3">
        <w:rPr>
          <w:i/>
        </w:rPr>
        <w:t>supra</w:t>
      </w:r>
      <w:r w:rsidR="003345F4" w:rsidRPr="00CE12B3">
        <w:t xml:space="preserve">; </w:t>
      </w:r>
      <w:r w:rsidR="003345F4" w:rsidRPr="00CE12B3">
        <w:rPr>
          <w:i/>
        </w:rPr>
        <w:t>Sossa by and through Sossa v. Newman</w:t>
      </w:r>
      <w:r w:rsidR="003345F4" w:rsidRPr="00CE12B3">
        <w:t xml:space="preserve">, </w:t>
      </w:r>
      <w:r w:rsidR="00883949" w:rsidRPr="00CE12B3">
        <w:t>647 So. 2d 1018 (Fla. 4</w:t>
      </w:r>
      <w:r w:rsidR="00883949" w:rsidRPr="00CE12B3">
        <w:rPr>
          <w:vertAlign w:val="superscript"/>
        </w:rPr>
        <w:t>th</w:t>
      </w:r>
      <w:r w:rsidR="00883949" w:rsidRPr="00CE12B3">
        <w:t xml:space="preserve"> DCA 1994); </w:t>
      </w:r>
      <w:r w:rsidR="00883949" w:rsidRPr="00CE12B3">
        <w:rPr>
          <w:i/>
        </w:rPr>
        <w:t>Ballard v. American Land Cruisers</w:t>
      </w:r>
      <w:r w:rsidR="00160BF0" w:rsidRPr="00CE12B3">
        <w:rPr>
          <w:i/>
        </w:rPr>
        <w:t>,</w:t>
      </w:r>
      <w:r w:rsidR="00883949" w:rsidRPr="00CE12B3">
        <w:rPr>
          <w:i/>
        </w:rPr>
        <w:t xml:space="preserve"> Inc.</w:t>
      </w:r>
      <w:r w:rsidR="00883949" w:rsidRPr="00CE12B3">
        <w:t xml:space="preserve">, 537 So. 2d 1018 (Fla. 3d DCA 1988); </w:t>
      </w:r>
      <w:r w:rsidR="00883949" w:rsidRPr="00CE12B3">
        <w:rPr>
          <w:i/>
        </w:rPr>
        <w:t>Klein v. Herring</w:t>
      </w:r>
      <w:r w:rsidR="00883949" w:rsidRPr="00CE12B3">
        <w:t xml:space="preserve">, 347 So. 2d 681 (Fla. 3d DCA 1977); </w:t>
      </w:r>
      <w:r w:rsidR="00883949" w:rsidRPr="00CE12B3">
        <w:rPr>
          <w:i/>
        </w:rPr>
        <w:t>Pierce v. Smith</w:t>
      </w:r>
      <w:r w:rsidR="00883949" w:rsidRPr="00CE12B3">
        <w:t xml:space="preserve">, 301 So. 2d 805 (Fla. 2d DCA 1974). </w:t>
      </w:r>
    </w:p>
    <w:p w14:paraId="569394C6" w14:textId="77777777" w:rsidR="00883949" w:rsidRPr="00CE12B3" w:rsidRDefault="00883949" w:rsidP="001524CD">
      <w:pPr>
        <w:pStyle w:val="ListParagraph"/>
        <w:spacing w:line="360" w:lineRule="auto"/>
      </w:pPr>
    </w:p>
    <w:p w14:paraId="76BF6484" w14:textId="77777777" w:rsidR="00616428" w:rsidRPr="00CE12B3" w:rsidRDefault="00AB595F" w:rsidP="00714300">
      <w:pPr>
        <w:pStyle w:val="ListParagraph"/>
        <w:numPr>
          <w:ilvl w:val="0"/>
          <w:numId w:val="1"/>
        </w:numPr>
        <w:spacing w:line="360" w:lineRule="auto"/>
        <w:ind w:left="0" w:firstLine="360"/>
        <w:jc w:val="both"/>
      </w:pPr>
      <w:r w:rsidRPr="00CE12B3">
        <w:t xml:space="preserve">Counsel shall not ask the jury to consider how a verdict might impact the jurors themselves or the community in general. </w:t>
      </w:r>
      <w:r w:rsidRPr="00CE12B3">
        <w:rPr>
          <w:i/>
        </w:rPr>
        <w:t>Norman v. Gloria Farms, Inc, supra.</w:t>
      </w:r>
      <w:r w:rsidRPr="00CE12B3">
        <w:t xml:space="preserve">  </w:t>
      </w:r>
      <w:r w:rsidR="00883949" w:rsidRPr="00CE12B3">
        <w:t xml:space="preserve">   </w:t>
      </w:r>
      <w:r w:rsidR="00003DFA" w:rsidRPr="00CE12B3">
        <w:t xml:space="preserve"> </w:t>
      </w:r>
    </w:p>
    <w:p w14:paraId="27800E12" w14:textId="13321F90" w:rsidR="002F43D6" w:rsidRPr="00CE12B3" w:rsidRDefault="002F43D6" w:rsidP="001524CD">
      <w:pPr>
        <w:pStyle w:val="ListParagraph"/>
        <w:spacing w:line="360" w:lineRule="auto"/>
      </w:pPr>
    </w:p>
    <w:p w14:paraId="76A89497" w14:textId="77777777" w:rsidR="002F43D6" w:rsidRPr="00CE12B3" w:rsidRDefault="002F43D6" w:rsidP="00714300">
      <w:pPr>
        <w:pStyle w:val="ListParagraph"/>
        <w:numPr>
          <w:ilvl w:val="0"/>
          <w:numId w:val="1"/>
        </w:numPr>
        <w:spacing w:line="360" w:lineRule="auto"/>
        <w:ind w:left="0" w:firstLine="360"/>
        <w:jc w:val="both"/>
      </w:pPr>
      <w:r w:rsidRPr="00CE12B3">
        <w:t xml:space="preserve">Counsel shall not urge the jury to draw an adverse inference from the failure of the opposing party to call a non-party witness unless the proper showing has first been made with the court. </w:t>
      </w:r>
      <w:r w:rsidRPr="00CE12B3">
        <w:rPr>
          <w:i/>
        </w:rPr>
        <w:t>Lowder v. Economic Opportunity Family Health Center</w:t>
      </w:r>
      <w:r w:rsidRPr="00CE12B3">
        <w:t xml:space="preserve">, </w:t>
      </w:r>
      <w:r w:rsidR="006F188A" w:rsidRPr="00CE12B3">
        <w:t xml:space="preserve">680 So. 2d 1133 (Fla. 3d DCA 1996); </w:t>
      </w:r>
      <w:r w:rsidR="006F188A" w:rsidRPr="00CE12B3">
        <w:rPr>
          <w:i/>
        </w:rPr>
        <w:t>Cf</w:t>
      </w:r>
      <w:r w:rsidR="006F188A" w:rsidRPr="00CE12B3">
        <w:t xml:space="preserve">. </w:t>
      </w:r>
      <w:r w:rsidR="006F188A" w:rsidRPr="00CE12B3">
        <w:rPr>
          <w:i/>
        </w:rPr>
        <w:t>FP&amp;L v. Goldberg</w:t>
      </w:r>
      <w:r w:rsidR="006F188A" w:rsidRPr="00CE12B3">
        <w:t xml:space="preserve">, 856 So. 2d 1011 (Fla. 3d DCA 2002) (applying different rule </w:t>
      </w:r>
      <w:r w:rsidR="006F188A" w:rsidRPr="00CE12B3">
        <w:lastRenderedPageBreak/>
        <w:t xml:space="preserve">regarding the failure to call a party as a witness); </w:t>
      </w:r>
      <w:r w:rsidR="006F188A" w:rsidRPr="00CE12B3">
        <w:rPr>
          <w:i/>
        </w:rPr>
        <w:t>Fino v. Nodine</w:t>
      </w:r>
      <w:r w:rsidR="006F188A" w:rsidRPr="00CE12B3">
        <w:t>, 646 So. 2d 746 (Fla. 4</w:t>
      </w:r>
      <w:r w:rsidR="006F188A" w:rsidRPr="00CE12B3">
        <w:rPr>
          <w:vertAlign w:val="superscript"/>
        </w:rPr>
        <w:t>th</w:t>
      </w:r>
      <w:r w:rsidR="006F188A" w:rsidRPr="00CE12B3">
        <w:t xml:space="preserve"> DCA 1995) (same). </w:t>
      </w:r>
    </w:p>
    <w:p w14:paraId="3C594CB5" w14:textId="77777777" w:rsidR="006F188A" w:rsidRPr="00CE12B3" w:rsidRDefault="006F188A" w:rsidP="001524CD">
      <w:pPr>
        <w:pStyle w:val="ListParagraph"/>
        <w:spacing w:line="360" w:lineRule="auto"/>
      </w:pPr>
    </w:p>
    <w:p w14:paraId="48E08C4D" w14:textId="77777777" w:rsidR="006F188A" w:rsidRPr="00CE12B3" w:rsidRDefault="00145ED8" w:rsidP="00714300">
      <w:pPr>
        <w:pStyle w:val="ListParagraph"/>
        <w:numPr>
          <w:ilvl w:val="0"/>
          <w:numId w:val="1"/>
        </w:numPr>
        <w:spacing w:line="360" w:lineRule="auto"/>
        <w:ind w:left="0" w:firstLine="360"/>
        <w:jc w:val="both"/>
      </w:pPr>
      <w:r w:rsidRPr="00CE12B3">
        <w:t xml:space="preserve">Counsel shall not comment upon the presence or absence of insurance coverage, or comment on whether a party would or would not be responsible for paying any amount awarded. </w:t>
      </w:r>
      <w:r w:rsidRPr="00CE12B3">
        <w:rPr>
          <w:i/>
        </w:rPr>
        <w:t>Nicaise v. Gagnon</w:t>
      </w:r>
      <w:r w:rsidRPr="00CE12B3">
        <w:t>, 597 So. 2d 305 (Fla. 4</w:t>
      </w:r>
      <w:r w:rsidRPr="00CE12B3">
        <w:rPr>
          <w:vertAlign w:val="superscript"/>
        </w:rPr>
        <w:t>th</w:t>
      </w:r>
      <w:r w:rsidRPr="00CE12B3">
        <w:t xml:space="preserve"> DCA 1992); </w:t>
      </w:r>
      <w:r w:rsidR="00B54C1B" w:rsidRPr="00CE12B3">
        <w:rPr>
          <w:i/>
        </w:rPr>
        <w:t>Ballard v. American Land Cruisers, Inc., supra</w:t>
      </w:r>
      <w:r w:rsidR="00B54C1B" w:rsidRPr="00CE12B3">
        <w:t xml:space="preserve">; </w:t>
      </w:r>
      <w:r w:rsidR="00B54C1B" w:rsidRPr="00CE12B3">
        <w:rPr>
          <w:i/>
        </w:rPr>
        <w:t>Skislak v. Wilson</w:t>
      </w:r>
      <w:r w:rsidR="00B54C1B" w:rsidRPr="00CE12B3">
        <w:t>, 472 So. 2d 776 (Fla. 3d DCA 1985).</w:t>
      </w:r>
    </w:p>
    <w:p w14:paraId="697349ED" w14:textId="77777777" w:rsidR="00B54C1B" w:rsidRPr="00CE12B3" w:rsidRDefault="00B54C1B" w:rsidP="001524CD">
      <w:pPr>
        <w:pStyle w:val="ListParagraph"/>
        <w:spacing w:line="360" w:lineRule="auto"/>
      </w:pPr>
    </w:p>
    <w:p w14:paraId="06E7EEC7" w14:textId="77777777" w:rsidR="00B54C1B" w:rsidRPr="00CE12B3" w:rsidRDefault="00383E51" w:rsidP="00714300">
      <w:pPr>
        <w:pStyle w:val="ListParagraph"/>
        <w:numPr>
          <w:ilvl w:val="0"/>
          <w:numId w:val="1"/>
        </w:numPr>
        <w:spacing w:line="360" w:lineRule="auto"/>
        <w:ind w:left="0" w:firstLine="360"/>
        <w:jc w:val="both"/>
      </w:pPr>
      <w:r w:rsidRPr="00CE12B3">
        <w:t xml:space="preserve">Counsel shall not ask jurors to place themselves in the shoes of a party or ask jurors to view evidence from a party’s perspective, especially on the issue of financial responsibility or in determining the amount of damages which ought to be awarded. </w:t>
      </w:r>
      <w:r w:rsidRPr="00CE12B3">
        <w:rPr>
          <w:i/>
        </w:rPr>
        <w:t>Metropolitan Dade County v. Zapata</w:t>
      </w:r>
      <w:r w:rsidRPr="00CE12B3">
        <w:t xml:space="preserve">, </w:t>
      </w:r>
      <w:r w:rsidR="008950D1" w:rsidRPr="00CE12B3">
        <w:t xml:space="preserve">601 So. 2d 239 (Fla. 3d DCA 1992); </w:t>
      </w:r>
      <w:r w:rsidR="008950D1" w:rsidRPr="00CE12B3">
        <w:rPr>
          <w:i/>
        </w:rPr>
        <w:t>Coral Gables Hospital Inc. v. Zabala</w:t>
      </w:r>
      <w:r w:rsidR="008950D1" w:rsidRPr="00CE12B3">
        <w:t>, 520 So. 2d 653 (Fla. 3d DCA 1988).</w:t>
      </w:r>
    </w:p>
    <w:p w14:paraId="0AC00E6E" w14:textId="77777777" w:rsidR="008950D1" w:rsidRPr="00CE12B3" w:rsidRDefault="008950D1" w:rsidP="008959B8">
      <w:pPr>
        <w:pStyle w:val="ListParagraph"/>
        <w:spacing w:line="360" w:lineRule="auto"/>
      </w:pPr>
    </w:p>
    <w:p w14:paraId="04F6460A" w14:textId="167274BC" w:rsidR="008950D1" w:rsidRPr="00CE12B3" w:rsidRDefault="008950D1" w:rsidP="00714300">
      <w:pPr>
        <w:pStyle w:val="ListParagraph"/>
        <w:numPr>
          <w:ilvl w:val="0"/>
          <w:numId w:val="1"/>
        </w:numPr>
        <w:spacing w:line="360" w:lineRule="auto"/>
        <w:ind w:left="0" w:firstLine="360"/>
        <w:jc w:val="both"/>
      </w:pPr>
      <w:r w:rsidRPr="00CE12B3">
        <w:t xml:space="preserve">Counsel shall avoid making arguments that place the jury or ask the jury to place itself in the place of the plaintiff or defendant. </w:t>
      </w:r>
      <w:proofErr w:type="spellStart"/>
      <w:r w:rsidRPr="00CE12B3">
        <w:rPr>
          <w:i/>
        </w:rPr>
        <w:t>Goutis</w:t>
      </w:r>
      <w:proofErr w:type="spellEnd"/>
      <w:r w:rsidRPr="00CE12B3">
        <w:rPr>
          <w:i/>
        </w:rPr>
        <w:t xml:space="preserve"> v. Express Transport, Inc.</w:t>
      </w:r>
      <w:r w:rsidRPr="00CE12B3">
        <w:t>, 699 So. 2d 757 (Fla. 4</w:t>
      </w:r>
      <w:r w:rsidRPr="00CE12B3">
        <w:rPr>
          <w:vertAlign w:val="superscript"/>
        </w:rPr>
        <w:t>th</w:t>
      </w:r>
      <w:r w:rsidRPr="00CE12B3">
        <w:t xml:space="preserve"> DCA 1997); </w:t>
      </w:r>
      <w:r w:rsidRPr="00CE12B3">
        <w:rPr>
          <w:i/>
        </w:rPr>
        <w:t>Metropolitan Dade County v. Zapata</w:t>
      </w:r>
      <w:r w:rsidRPr="00CE12B3">
        <w:t xml:space="preserve">, 601 So. 2d 239 (Fla. 3d DCA 1992); </w:t>
      </w:r>
      <w:r w:rsidRPr="00CE12B3">
        <w:rPr>
          <w:i/>
        </w:rPr>
        <w:t xml:space="preserve">See also, </w:t>
      </w:r>
      <w:r w:rsidR="00633325" w:rsidRPr="00CE12B3">
        <w:rPr>
          <w:i/>
        </w:rPr>
        <w:t>Simmonds v. Lowery</w:t>
      </w:r>
      <w:r w:rsidR="00633325" w:rsidRPr="00CE12B3">
        <w:t>, 563 So. 2d 183 (Fla. 4</w:t>
      </w:r>
      <w:r w:rsidR="00633325" w:rsidRPr="00CE12B3">
        <w:rPr>
          <w:vertAlign w:val="superscript"/>
        </w:rPr>
        <w:t>th</w:t>
      </w:r>
      <w:r w:rsidR="00633325" w:rsidRPr="00CE12B3">
        <w:t xml:space="preserve"> DCA 1990) (“a golden rule argument suggests to jurors that they put themselves in the shoes of one of the parties, and is impermissible because it encourages the jurors to decide the case on the basis</w:t>
      </w:r>
      <w:r w:rsidR="00710271" w:rsidRPr="00CE12B3">
        <w:t xml:space="preserve"> of</w:t>
      </w:r>
      <w:r w:rsidR="00633325" w:rsidRPr="00CE12B3">
        <w:t xml:space="preserve"> personal interest and bias rather than on the evidence</w:t>
      </w:r>
      <w:r w:rsidR="00710271" w:rsidRPr="00CE12B3">
        <w:t>.</w:t>
      </w:r>
      <w:r w:rsidR="00633325" w:rsidRPr="00CE12B3">
        <w:t xml:space="preserve">”). </w:t>
      </w:r>
    </w:p>
    <w:p w14:paraId="1ACFBD63" w14:textId="77777777" w:rsidR="00E52F50" w:rsidRPr="00CE12B3" w:rsidRDefault="00E52F50" w:rsidP="00E52F50">
      <w:pPr>
        <w:pStyle w:val="ListParagraph"/>
      </w:pPr>
    </w:p>
    <w:p w14:paraId="76E9AA52" w14:textId="77777777" w:rsidR="00633325" w:rsidRPr="00CE12B3" w:rsidRDefault="001555C1" w:rsidP="00714300">
      <w:pPr>
        <w:pStyle w:val="ListParagraph"/>
        <w:numPr>
          <w:ilvl w:val="0"/>
          <w:numId w:val="1"/>
        </w:numPr>
        <w:spacing w:line="360" w:lineRule="auto"/>
        <w:ind w:left="0" w:firstLine="360"/>
        <w:jc w:val="both"/>
      </w:pPr>
      <w:r w:rsidRPr="00CE12B3">
        <w:t xml:space="preserve">Counsel shall not make any arguments that misstate the law or that mislead the jury. </w:t>
      </w:r>
      <w:r w:rsidRPr="00CE12B3">
        <w:rPr>
          <w:i/>
        </w:rPr>
        <w:t>City Provisioners, Inc. v. Anderson</w:t>
      </w:r>
      <w:r w:rsidRPr="00CE12B3">
        <w:t>, 578 So. 2d 855 (Fla. 5</w:t>
      </w:r>
      <w:r w:rsidRPr="00CE12B3">
        <w:rPr>
          <w:vertAlign w:val="superscript"/>
        </w:rPr>
        <w:t>th</w:t>
      </w:r>
      <w:r w:rsidRPr="00CE12B3">
        <w:t xml:space="preserve"> DCA 1991); </w:t>
      </w:r>
      <w:r w:rsidRPr="00CE12B3">
        <w:rPr>
          <w:i/>
        </w:rPr>
        <w:t>Craft v. Kramer</w:t>
      </w:r>
      <w:r w:rsidRPr="00CE12B3">
        <w:t xml:space="preserve">, </w:t>
      </w:r>
      <w:r w:rsidR="00871478" w:rsidRPr="00CE12B3">
        <w:t>571 So. 2d 1337 (Fla. 4</w:t>
      </w:r>
      <w:r w:rsidR="00871478" w:rsidRPr="00CE12B3">
        <w:rPr>
          <w:vertAlign w:val="superscript"/>
        </w:rPr>
        <w:t>th</w:t>
      </w:r>
      <w:r w:rsidR="00871478" w:rsidRPr="00CE12B3">
        <w:t xml:space="preserve"> DCA 1990). </w:t>
      </w:r>
    </w:p>
    <w:p w14:paraId="7D3810EF" w14:textId="77777777" w:rsidR="00871478" w:rsidRPr="00CE12B3" w:rsidRDefault="00871478" w:rsidP="008959B8">
      <w:pPr>
        <w:pStyle w:val="ListParagraph"/>
        <w:spacing w:line="360" w:lineRule="auto"/>
      </w:pPr>
    </w:p>
    <w:p w14:paraId="6AEE987B" w14:textId="77777777" w:rsidR="00871478" w:rsidRPr="00CE12B3" w:rsidRDefault="00871478" w:rsidP="00216D98">
      <w:pPr>
        <w:pStyle w:val="ListParagraph"/>
        <w:numPr>
          <w:ilvl w:val="0"/>
          <w:numId w:val="1"/>
        </w:numPr>
        <w:spacing w:line="360" w:lineRule="auto"/>
        <w:ind w:left="0" w:firstLine="360"/>
        <w:jc w:val="both"/>
      </w:pPr>
      <w:r w:rsidRPr="00CE12B3">
        <w:t xml:space="preserve">Counsel shall not suggest to the jury that they should place a monetary value on a human life in the same manner as a monetary value is placed on a </w:t>
      </w:r>
      <w:proofErr w:type="gramStart"/>
      <w:r w:rsidRPr="00CE12B3">
        <w:t>10 million dollar</w:t>
      </w:r>
      <w:proofErr w:type="gramEnd"/>
      <w:r w:rsidRPr="00CE12B3">
        <w:t xml:space="preserve"> work of art or an </w:t>
      </w:r>
      <w:proofErr w:type="gramStart"/>
      <w:r w:rsidRPr="00CE12B3">
        <w:t>18 million dollar</w:t>
      </w:r>
      <w:proofErr w:type="gramEnd"/>
      <w:r w:rsidRPr="00CE12B3">
        <w:t xml:space="preserve"> jetliner. </w:t>
      </w:r>
      <w:r w:rsidRPr="00CE12B3">
        <w:rPr>
          <w:i/>
        </w:rPr>
        <w:t>Public Health Trust of Dade County v. Geter</w:t>
      </w:r>
      <w:r w:rsidRPr="00CE12B3">
        <w:t>, 613 So. 2d 126 (Fla. 3</w:t>
      </w:r>
      <w:r w:rsidRPr="00CE12B3">
        <w:rPr>
          <w:vertAlign w:val="superscript"/>
        </w:rPr>
        <w:t>rd</w:t>
      </w:r>
      <w:r w:rsidRPr="00CE12B3">
        <w:t xml:space="preserve"> DCA 1993). </w:t>
      </w:r>
    </w:p>
    <w:p w14:paraId="5E5CAA08" w14:textId="77777777" w:rsidR="00871478" w:rsidRPr="00CE12B3" w:rsidRDefault="00871478" w:rsidP="008959B8">
      <w:pPr>
        <w:pStyle w:val="ListParagraph"/>
        <w:spacing w:line="360" w:lineRule="auto"/>
      </w:pPr>
    </w:p>
    <w:p w14:paraId="23F3DEC8" w14:textId="77777777" w:rsidR="00871478" w:rsidRPr="00CE12B3" w:rsidRDefault="00871478" w:rsidP="00216D98">
      <w:pPr>
        <w:pStyle w:val="ListParagraph"/>
        <w:numPr>
          <w:ilvl w:val="0"/>
          <w:numId w:val="1"/>
        </w:numPr>
        <w:spacing w:line="360" w:lineRule="auto"/>
        <w:ind w:left="0" w:firstLine="360"/>
        <w:jc w:val="both"/>
      </w:pPr>
      <w:r w:rsidRPr="00CE12B3">
        <w:lastRenderedPageBreak/>
        <w:t xml:space="preserve"> </w:t>
      </w:r>
      <w:r w:rsidR="000A316A" w:rsidRPr="00CE12B3">
        <w:t xml:space="preserve">Counsel shall not suggest to the jury that the court can reduce or increase any damage award the jury returns. </w:t>
      </w:r>
      <w:r w:rsidR="000A316A" w:rsidRPr="00CE12B3">
        <w:rPr>
          <w:i/>
        </w:rPr>
        <w:t>City Provisioners, Inc. v. Anderson, supra</w:t>
      </w:r>
      <w:r w:rsidR="000A316A" w:rsidRPr="00CE12B3">
        <w:t>.</w:t>
      </w:r>
    </w:p>
    <w:p w14:paraId="5DB66B62" w14:textId="77777777" w:rsidR="00A1612D" w:rsidRPr="00CE12B3" w:rsidRDefault="00A1612D" w:rsidP="008959B8">
      <w:pPr>
        <w:spacing w:line="360" w:lineRule="auto"/>
        <w:jc w:val="both"/>
      </w:pPr>
    </w:p>
    <w:p w14:paraId="582C1EE2" w14:textId="77777777" w:rsidR="005D5F7C" w:rsidRPr="00CE12B3" w:rsidRDefault="005D5F7C" w:rsidP="005D5F7C">
      <w:pPr>
        <w:spacing w:line="480" w:lineRule="auto"/>
        <w:ind w:firstLine="720"/>
        <w:jc w:val="both"/>
      </w:pPr>
      <w:r w:rsidRPr="00CE12B3">
        <w:t>It is further ADJUDGED that within five days from the date of eservice of this Order, the [Plaintiff/Defendant] shall:</w:t>
      </w:r>
    </w:p>
    <w:p w14:paraId="2FA9ADFA" w14:textId="77777777" w:rsidR="005D5F7C" w:rsidRPr="00CE12B3" w:rsidRDefault="005D5F7C" w:rsidP="005D5F7C">
      <w:pPr>
        <w:spacing w:line="480" w:lineRule="auto"/>
        <w:ind w:left="720" w:firstLine="720"/>
        <w:jc w:val="both"/>
      </w:pPr>
      <w:r w:rsidRPr="00CE12B3">
        <w:t>Furnish a copy of this Order to each self-represented party by U.S. Mail, first class, postage paid; and</w:t>
      </w:r>
    </w:p>
    <w:p w14:paraId="1B841C8D" w14:textId="77777777" w:rsidR="005D5F7C" w:rsidRPr="00CE12B3" w:rsidRDefault="005D5F7C" w:rsidP="005D5F7C">
      <w:pPr>
        <w:spacing w:line="480" w:lineRule="auto"/>
        <w:ind w:left="720" w:firstLine="720"/>
        <w:jc w:val="both"/>
      </w:pPr>
      <w:r w:rsidRPr="00CE12B3">
        <w:t>File a certificate signed by [Plaintiff’s/Defendant’s] counsel that delivery of this Order has been made as set forth herein.</w:t>
      </w:r>
    </w:p>
    <w:p w14:paraId="1B2F556E" w14:textId="68FE8AF4" w:rsidR="00C772EE" w:rsidRDefault="00C772EE" w:rsidP="00C772EE">
      <w:pPr>
        <w:pStyle w:val="BodyText"/>
        <w:spacing w:before="1" w:line="360" w:lineRule="auto"/>
        <w:ind w:left="100" w:right="257" w:firstLine="719"/>
      </w:pPr>
      <w:r>
        <w:rPr>
          <w:b/>
        </w:rPr>
        <w:t xml:space="preserve">DONE AND ORDERED </w:t>
      </w:r>
      <w:r>
        <w:t xml:space="preserve">in Chambers, at </w:t>
      </w:r>
      <w:r w:rsidR="00BA1445">
        <w:t>Melbourne</w:t>
      </w:r>
      <w:r>
        <w:t xml:space="preserve">, Brevard County, Florida, this </w:t>
      </w:r>
      <w:r w:rsidR="00BA1445">
        <w:t>_____</w:t>
      </w:r>
      <w:r>
        <w:t xml:space="preserve"> day of </w:t>
      </w:r>
      <w:r w:rsidR="00BA1445">
        <w:t>___________</w:t>
      </w:r>
      <w:r>
        <w:t>, 20</w:t>
      </w:r>
      <w:r w:rsidR="00BA1445">
        <w:t>__</w:t>
      </w:r>
      <w:r>
        <w:t>.</w:t>
      </w:r>
    </w:p>
    <w:p w14:paraId="01ED2FD6" w14:textId="2A230B85" w:rsidR="00C772EE" w:rsidRDefault="00C772EE" w:rsidP="00C772EE">
      <w:pPr>
        <w:pStyle w:val="BodyText"/>
        <w:ind w:left="6480" w:right="257"/>
      </w:pPr>
      <w:r>
        <w:t>_____________________</w:t>
      </w:r>
    </w:p>
    <w:p w14:paraId="0350D42D" w14:textId="3EBC9ACB" w:rsidR="00C772EE" w:rsidRDefault="00C772EE" w:rsidP="00C772EE">
      <w:pPr>
        <w:pStyle w:val="BodyText"/>
        <w:ind w:right="257"/>
      </w:pPr>
      <w:r>
        <w:tab/>
      </w:r>
      <w:r>
        <w:tab/>
      </w:r>
      <w:r>
        <w:tab/>
      </w:r>
      <w:r>
        <w:tab/>
      </w:r>
      <w:r>
        <w:tab/>
      </w:r>
      <w:r>
        <w:tab/>
      </w:r>
      <w:r>
        <w:tab/>
      </w:r>
      <w:r>
        <w:tab/>
      </w:r>
      <w:r>
        <w:tab/>
      </w:r>
      <w:r w:rsidR="00BA1445">
        <w:t>CURT</w:t>
      </w:r>
      <w:r>
        <w:t xml:space="preserve"> </w:t>
      </w:r>
      <w:r w:rsidR="00BA1445">
        <w:t>JACOBUS</w:t>
      </w:r>
    </w:p>
    <w:p w14:paraId="4EE87500" w14:textId="77777777" w:rsidR="00C772EE" w:rsidRDefault="00C772EE" w:rsidP="00C772EE">
      <w:pPr>
        <w:pStyle w:val="BodyText"/>
        <w:ind w:right="257"/>
      </w:pPr>
      <w:r>
        <w:tab/>
      </w:r>
      <w:r>
        <w:tab/>
      </w:r>
      <w:r>
        <w:tab/>
      </w:r>
      <w:r>
        <w:tab/>
      </w:r>
      <w:r>
        <w:tab/>
      </w:r>
      <w:r>
        <w:tab/>
      </w:r>
      <w:r>
        <w:tab/>
      </w:r>
      <w:r>
        <w:tab/>
      </w:r>
      <w:r>
        <w:tab/>
        <w:t>CIRCUIT JUDGE</w:t>
      </w:r>
    </w:p>
    <w:p w14:paraId="034FA4B4" w14:textId="38953153" w:rsidR="005D5F7C" w:rsidRPr="00CE12B3" w:rsidRDefault="005D5F7C" w:rsidP="005E029A">
      <w:pPr>
        <w:spacing w:line="480" w:lineRule="auto"/>
      </w:pPr>
    </w:p>
    <w:sectPr w:rsidR="005D5F7C" w:rsidRPr="00CE12B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22CFD" w14:textId="77777777" w:rsidR="00056F5E" w:rsidRDefault="00056F5E" w:rsidP="00105933">
      <w:r>
        <w:separator/>
      </w:r>
    </w:p>
  </w:endnote>
  <w:endnote w:type="continuationSeparator" w:id="0">
    <w:p w14:paraId="2B658FA2" w14:textId="77777777" w:rsidR="00056F5E" w:rsidRDefault="00056F5E" w:rsidP="0010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677792"/>
      <w:docPartObj>
        <w:docPartGallery w:val="Page Numbers (Bottom of Page)"/>
        <w:docPartUnique/>
      </w:docPartObj>
    </w:sdtPr>
    <w:sdtEndPr/>
    <w:sdtContent>
      <w:sdt>
        <w:sdtPr>
          <w:id w:val="-1669238322"/>
          <w:docPartObj>
            <w:docPartGallery w:val="Page Numbers (Top of Page)"/>
            <w:docPartUnique/>
          </w:docPartObj>
        </w:sdtPr>
        <w:sdtEndPr/>
        <w:sdtContent>
          <w:p w14:paraId="21915817" w14:textId="77777777" w:rsidR="00DD2766" w:rsidRDefault="00DD2766">
            <w:pPr>
              <w:pStyle w:val="Footer"/>
              <w:jc w:val="center"/>
            </w:pPr>
            <w:r>
              <w:t xml:space="preserve">Page </w:t>
            </w:r>
            <w:r>
              <w:rPr>
                <w:b/>
                <w:bCs/>
              </w:rPr>
              <w:fldChar w:fldCharType="begin"/>
            </w:r>
            <w:r>
              <w:rPr>
                <w:b/>
                <w:bCs/>
              </w:rPr>
              <w:instrText xml:space="preserve"> PAGE </w:instrText>
            </w:r>
            <w:r>
              <w:rPr>
                <w:b/>
                <w:bCs/>
              </w:rPr>
              <w:fldChar w:fldCharType="separate"/>
            </w:r>
            <w:r w:rsidR="00AB4FA3">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AB4FA3">
              <w:rPr>
                <w:b/>
                <w:bCs/>
                <w:noProof/>
              </w:rPr>
              <w:t>7</w:t>
            </w:r>
            <w:r>
              <w:rPr>
                <w:b/>
                <w:bCs/>
              </w:rPr>
              <w:fldChar w:fldCharType="end"/>
            </w:r>
          </w:p>
        </w:sdtContent>
      </w:sdt>
    </w:sdtContent>
  </w:sdt>
  <w:p w14:paraId="5FED3F53" w14:textId="77777777" w:rsidR="00C92B5E" w:rsidRDefault="00C92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95AE" w14:textId="77777777" w:rsidR="00056F5E" w:rsidRDefault="00056F5E" w:rsidP="00105933">
      <w:r>
        <w:separator/>
      </w:r>
    </w:p>
  </w:footnote>
  <w:footnote w:type="continuationSeparator" w:id="0">
    <w:p w14:paraId="605655A0" w14:textId="77777777" w:rsidR="00056F5E" w:rsidRDefault="00056F5E" w:rsidP="00105933">
      <w:r>
        <w:continuationSeparator/>
      </w:r>
    </w:p>
  </w:footnote>
  <w:footnote w:id="1">
    <w:p w14:paraId="49EC4366" w14:textId="77777777" w:rsidR="00671067" w:rsidRDefault="00671067">
      <w:pPr>
        <w:pStyle w:val="FootnoteText"/>
      </w:pPr>
      <w:r>
        <w:rPr>
          <w:rStyle w:val="FootnoteReference"/>
        </w:rPr>
        <w:footnoteRef/>
      </w:r>
      <w:r>
        <w:t xml:space="preserve"> </w:t>
      </w:r>
      <w:r w:rsidR="003D02D9">
        <w:t xml:space="preserve">Phrases such as “I think”, “I believe” or “I submit” are generic figures of speech which, standing alone, are not improper and generally may be used in the course of closing argument. </w:t>
      </w:r>
      <w:r w:rsidR="00342F2B">
        <w:t xml:space="preserve"> </w:t>
      </w:r>
      <w:r w:rsidR="00342F2B" w:rsidRPr="00342F2B">
        <w:rPr>
          <w:i/>
        </w:rPr>
        <w:t>Murphy v. International Robotic Systems, Inc.</w:t>
      </w:r>
      <w:r w:rsidR="00342F2B">
        <w:t xml:space="preserve">, 766 So. 2d 1010 (Fla. 2000); </w:t>
      </w:r>
      <w:r w:rsidR="00342F2B" w:rsidRPr="00C829FF">
        <w:rPr>
          <w:i/>
        </w:rPr>
        <w:t>Lowder v. Economic O</w:t>
      </w:r>
      <w:r w:rsidR="00C829FF" w:rsidRPr="00C829FF">
        <w:rPr>
          <w:i/>
        </w:rPr>
        <w:t>pportunity Family Health Center, In</w:t>
      </w:r>
      <w:r w:rsidR="00C829FF" w:rsidRPr="00C829FF">
        <w:t>c.,</w:t>
      </w:r>
      <w:r w:rsidR="00C829FF">
        <w:t xml:space="preserve"> </w:t>
      </w:r>
      <w:r w:rsidR="005D2518">
        <w:t xml:space="preserve">680 So. 2d 1133 (Fla. 3d DCA 1996); </w:t>
      </w:r>
      <w:r w:rsidR="005D2518" w:rsidRPr="005D2518">
        <w:rPr>
          <w:i/>
        </w:rPr>
        <w:t>Forman v. Walshein</w:t>
      </w:r>
      <w:r w:rsidR="005D2518">
        <w:t xml:space="preserve">, 671 So. 2d 872 (Fla. 3d DCA 1996).  </w:t>
      </w:r>
      <w:r w:rsidR="00342F2B">
        <w:t xml:space="preserve"> </w:t>
      </w:r>
    </w:p>
  </w:footnote>
  <w:footnote w:id="2">
    <w:p w14:paraId="07E26A8A" w14:textId="77777777" w:rsidR="007F4863" w:rsidRDefault="007F4863">
      <w:pPr>
        <w:pStyle w:val="FootnoteText"/>
      </w:pPr>
      <w:r>
        <w:rPr>
          <w:rStyle w:val="FootnoteReference"/>
        </w:rPr>
        <w:footnoteRef/>
      </w:r>
      <w:r>
        <w:t xml:space="preserve"> There may be rare instances in which such evidence might be admissible at trial. </w:t>
      </w:r>
      <w:r w:rsidRPr="007F4863">
        <w:rPr>
          <w:i/>
        </w:rPr>
        <w:t>See</w:t>
      </w:r>
      <w:r>
        <w:t xml:space="preserve">, </w:t>
      </w:r>
      <w:r w:rsidRPr="007F4863">
        <w:rPr>
          <w:i/>
        </w:rPr>
        <w:t>e.g.</w:t>
      </w:r>
      <w:r>
        <w:t xml:space="preserve"> </w:t>
      </w:r>
      <w:r w:rsidR="009369F7" w:rsidRPr="009369F7">
        <w:rPr>
          <w:i/>
        </w:rPr>
        <w:t>State Farm Mut. Auto. Ins. Co. v. Williams</w:t>
      </w:r>
      <w:r w:rsidR="009369F7">
        <w:t>, 943 So. 2d 997 (Fla. 1</w:t>
      </w:r>
      <w:r w:rsidR="009369F7" w:rsidRPr="009369F7">
        <w:rPr>
          <w:vertAlign w:val="superscript"/>
        </w:rPr>
        <w:t>st</w:t>
      </w:r>
      <w:r w:rsidR="009369F7">
        <w:t xml:space="preserve"> DCA 2006) (distinguishing between joint tortfeasors and subsequent tortfeasors). If such evidence is properly before the jury, it may of course be argued in closing argument to the extent it is relevant. </w:t>
      </w:r>
      <w:r>
        <w:t xml:space="preserve"> </w:t>
      </w:r>
    </w:p>
  </w:footnote>
  <w:footnote w:id="3">
    <w:p w14:paraId="141DD261" w14:textId="77777777" w:rsidR="00123566" w:rsidRDefault="00123566">
      <w:pPr>
        <w:pStyle w:val="FootnoteText"/>
      </w:pPr>
      <w:r>
        <w:rPr>
          <w:rStyle w:val="FootnoteReference"/>
        </w:rPr>
        <w:footnoteRef/>
      </w:r>
      <w:r>
        <w:t xml:space="preserve"> </w:t>
      </w:r>
      <w:r w:rsidR="00160BF0">
        <w:t xml:space="preserve">The Court recognizes that, under limited circumstances, such an argument might be relevant and proper. </w:t>
      </w:r>
      <w:r w:rsidR="00160BF0" w:rsidRPr="001E6022">
        <w:rPr>
          <w:i/>
        </w:rPr>
        <w:t>See e.g.,</w:t>
      </w:r>
      <w:r w:rsidR="00160BF0">
        <w:t xml:space="preserve"> </w:t>
      </w:r>
      <w:r w:rsidR="00160BF0" w:rsidRPr="001E6022">
        <w:rPr>
          <w:i/>
        </w:rPr>
        <w:t>Wransky v. Dalfo</w:t>
      </w:r>
      <w:r w:rsidR="00160BF0">
        <w:t>, 801 So. 2d 239 (Fla. 4</w:t>
      </w:r>
      <w:r w:rsidR="00160BF0" w:rsidRPr="00160BF0">
        <w:rPr>
          <w:vertAlign w:val="superscript"/>
        </w:rPr>
        <w:t>th</w:t>
      </w:r>
      <w:r w:rsidR="00160BF0">
        <w:t xml:space="preserve"> DCA 2001) (claim for punitive damages)</w:t>
      </w:r>
      <w:r w:rsidR="00AB4FA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1515" w14:textId="2D7E655F" w:rsidR="0031047F" w:rsidRDefault="00210C72" w:rsidP="0031047F">
    <w:pPr>
      <w:pStyle w:val="Header"/>
      <w:jc w:val="right"/>
    </w:pPr>
    <w:r>
      <w:t>(April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E777D"/>
    <w:multiLevelType w:val="hybridMultilevel"/>
    <w:tmpl w:val="8F2AB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4618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69"/>
    <w:rsid w:val="00003DFA"/>
    <w:rsid w:val="000422CA"/>
    <w:rsid w:val="00056F5E"/>
    <w:rsid w:val="00091622"/>
    <w:rsid w:val="00094D52"/>
    <w:rsid w:val="000A316A"/>
    <w:rsid w:val="000D7D6D"/>
    <w:rsid w:val="00105933"/>
    <w:rsid w:val="0011707C"/>
    <w:rsid w:val="001171C5"/>
    <w:rsid w:val="00123566"/>
    <w:rsid w:val="0013124D"/>
    <w:rsid w:val="00145ED8"/>
    <w:rsid w:val="00146C2E"/>
    <w:rsid w:val="001524CD"/>
    <w:rsid w:val="001555C1"/>
    <w:rsid w:val="001563A3"/>
    <w:rsid w:val="00160BF0"/>
    <w:rsid w:val="001620B1"/>
    <w:rsid w:val="001E6022"/>
    <w:rsid w:val="00206BCF"/>
    <w:rsid w:val="00210C72"/>
    <w:rsid w:val="00216D98"/>
    <w:rsid w:val="002D3B73"/>
    <w:rsid w:val="002E1EFF"/>
    <w:rsid w:val="002E5906"/>
    <w:rsid w:val="002F43D6"/>
    <w:rsid w:val="0031047F"/>
    <w:rsid w:val="003267DE"/>
    <w:rsid w:val="00333F40"/>
    <w:rsid w:val="003345F4"/>
    <w:rsid w:val="00342F2B"/>
    <w:rsid w:val="00355D0A"/>
    <w:rsid w:val="00380E48"/>
    <w:rsid w:val="003826A9"/>
    <w:rsid w:val="00383E51"/>
    <w:rsid w:val="00392DC9"/>
    <w:rsid w:val="003A2C51"/>
    <w:rsid w:val="003A511E"/>
    <w:rsid w:val="003D02D9"/>
    <w:rsid w:val="00400EF5"/>
    <w:rsid w:val="0041736C"/>
    <w:rsid w:val="0046697D"/>
    <w:rsid w:val="00466ECC"/>
    <w:rsid w:val="00496139"/>
    <w:rsid w:val="004D3A32"/>
    <w:rsid w:val="005002B1"/>
    <w:rsid w:val="0051394B"/>
    <w:rsid w:val="00514B8A"/>
    <w:rsid w:val="005340BD"/>
    <w:rsid w:val="00575186"/>
    <w:rsid w:val="005832B7"/>
    <w:rsid w:val="00586BEE"/>
    <w:rsid w:val="005B7683"/>
    <w:rsid w:val="005D2518"/>
    <w:rsid w:val="005D2C13"/>
    <w:rsid w:val="005D5F7C"/>
    <w:rsid w:val="005E029A"/>
    <w:rsid w:val="00616428"/>
    <w:rsid w:val="006168CF"/>
    <w:rsid w:val="00633325"/>
    <w:rsid w:val="00636776"/>
    <w:rsid w:val="00671067"/>
    <w:rsid w:val="0067576F"/>
    <w:rsid w:val="00687685"/>
    <w:rsid w:val="006F188A"/>
    <w:rsid w:val="00710271"/>
    <w:rsid w:val="00714300"/>
    <w:rsid w:val="00734418"/>
    <w:rsid w:val="00747B6C"/>
    <w:rsid w:val="00751B69"/>
    <w:rsid w:val="0079614A"/>
    <w:rsid w:val="007F4863"/>
    <w:rsid w:val="00816045"/>
    <w:rsid w:val="008162C3"/>
    <w:rsid w:val="008338E8"/>
    <w:rsid w:val="00842353"/>
    <w:rsid w:val="008572E5"/>
    <w:rsid w:val="0086228D"/>
    <w:rsid w:val="00871478"/>
    <w:rsid w:val="0087444C"/>
    <w:rsid w:val="00875382"/>
    <w:rsid w:val="00883949"/>
    <w:rsid w:val="008950D1"/>
    <w:rsid w:val="008959B8"/>
    <w:rsid w:val="00895D4D"/>
    <w:rsid w:val="008D12F5"/>
    <w:rsid w:val="009031AE"/>
    <w:rsid w:val="00904F51"/>
    <w:rsid w:val="00930066"/>
    <w:rsid w:val="009369F7"/>
    <w:rsid w:val="00957F38"/>
    <w:rsid w:val="009748F4"/>
    <w:rsid w:val="00983219"/>
    <w:rsid w:val="00987A6B"/>
    <w:rsid w:val="009C18B2"/>
    <w:rsid w:val="00A1612D"/>
    <w:rsid w:val="00A168F7"/>
    <w:rsid w:val="00A42C31"/>
    <w:rsid w:val="00A6641B"/>
    <w:rsid w:val="00AB4FA3"/>
    <w:rsid w:val="00AB595F"/>
    <w:rsid w:val="00AD5A8F"/>
    <w:rsid w:val="00AF4A47"/>
    <w:rsid w:val="00B54C1B"/>
    <w:rsid w:val="00B96CC5"/>
    <w:rsid w:val="00BA1445"/>
    <w:rsid w:val="00BB7BD3"/>
    <w:rsid w:val="00BD1687"/>
    <w:rsid w:val="00BF6D26"/>
    <w:rsid w:val="00C14907"/>
    <w:rsid w:val="00C436EC"/>
    <w:rsid w:val="00C772EE"/>
    <w:rsid w:val="00C829FF"/>
    <w:rsid w:val="00C92B5E"/>
    <w:rsid w:val="00CA14EB"/>
    <w:rsid w:val="00CE07A9"/>
    <w:rsid w:val="00CE12B3"/>
    <w:rsid w:val="00CF2169"/>
    <w:rsid w:val="00D00E2F"/>
    <w:rsid w:val="00D04B54"/>
    <w:rsid w:val="00D05FC8"/>
    <w:rsid w:val="00D367EC"/>
    <w:rsid w:val="00D44AEC"/>
    <w:rsid w:val="00DB3A51"/>
    <w:rsid w:val="00DC21F3"/>
    <w:rsid w:val="00DC57F7"/>
    <w:rsid w:val="00DD2766"/>
    <w:rsid w:val="00E46BD7"/>
    <w:rsid w:val="00E50F78"/>
    <w:rsid w:val="00E52F50"/>
    <w:rsid w:val="00E537B2"/>
    <w:rsid w:val="00E5512C"/>
    <w:rsid w:val="00E57933"/>
    <w:rsid w:val="00E75763"/>
    <w:rsid w:val="00EB51E7"/>
    <w:rsid w:val="00F21EB1"/>
    <w:rsid w:val="00F34C99"/>
    <w:rsid w:val="00F6712E"/>
    <w:rsid w:val="00F909D5"/>
    <w:rsid w:val="00FE0737"/>
    <w:rsid w:val="00FF3A84"/>
    <w:rsid w:val="216C08FE"/>
    <w:rsid w:val="3B56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7F04"/>
  <w15:docId w15:val="{E24DF650-80EF-42FD-80C4-8F8D28AF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B6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05933"/>
    <w:rPr>
      <w:sz w:val="20"/>
      <w:szCs w:val="20"/>
    </w:rPr>
  </w:style>
  <w:style w:type="character" w:customStyle="1" w:styleId="FootnoteTextChar">
    <w:name w:val="Footnote Text Char"/>
    <w:basedOn w:val="DefaultParagraphFont"/>
    <w:link w:val="FootnoteText"/>
    <w:uiPriority w:val="99"/>
    <w:semiHidden/>
    <w:rsid w:val="00105933"/>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105933"/>
    <w:rPr>
      <w:vertAlign w:val="superscript"/>
    </w:rPr>
  </w:style>
  <w:style w:type="paragraph" w:styleId="ListParagraph">
    <w:name w:val="List Paragraph"/>
    <w:basedOn w:val="Normal"/>
    <w:uiPriority w:val="34"/>
    <w:qFormat/>
    <w:rsid w:val="008338E8"/>
    <w:pPr>
      <w:ind w:left="720"/>
      <w:contextualSpacing/>
    </w:pPr>
  </w:style>
  <w:style w:type="paragraph" w:styleId="Header">
    <w:name w:val="header"/>
    <w:basedOn w:val="Normal"/>
    <w:link w:val="HeaderChar"/>
    <w:uiPriority w:val="99"/>
    <w:unhideWhenUsed/>
    <w:rsid w:val="00C92B5E"/>
    <w:pPr>
      <w:tabs>
        <w:tab w:val="center" w:pos="4680"/>
        <w:tab w:val="right" w:pos="9360"/>
      </w:tabs>
    </w:pPr>
  </w:style>
  <w:style w:type="character" w:customStyle="1" w:styleId="HeaderChar">
    <w:name w:val="Header Char"/>
    <w:basedOn w:val="DefaultParagraphFont"/>
    <w:link w:val="Header"/>
    <w:uiPriority w:val="99"/>
    <w:rsid w:val="00C92B5E"/>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92B5E"/>
    <w:pPr>
      <w:tabs>
        <w:tab w:val="center" w:pos="4680"/>
        <w:tab w:val="right" w:pos="9360"/>
      </w:tabs>
    </w:pPr>
  </w:style>
  <w:style w:type="character" w:customStyle="1" w:styleId="FooterChar">
    <w:name w:val="Footer Char"/>
    <w:basedOn w:val="DefaultParagraphFont"/>
    <w:link w:val="Footer"/>
    <w:uiPriority w:val="99"/>
    <w:rsid w:val="00C92B5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DD2766"/>
    <w:rPr>
      <w:rFonts w:ascii="Tahoma" w:hAnsi="Tahoma" w:cs="Tahoma"/>
      <w:sz w:val="16"/>
      <w:szCs w:val="16"/>
    </w:rPr>
  </w:style>
  <w:style w:type="character" w:customStyle="1" w:styleId="BalloonTextChar">
    <w:name w:val="Balloon Text Char"/>
    <w:basedOn w:val="DefaultParagraphFont"/>
    <w:link w:val="BalloonText"/>
    <w:uiPriority w:val="99"/>
    <w:semiHidden/>
    <w:rsid w:val="00DD2766"/>
    <w:rPr>
      <w:rFonts w:ascii="Tahoma" w:eastAsiaTheme="minorEastAsia" w:hAnsi="Tahoma" w:cs="Tahoma"/>
      <w:sz w:val="16"/>
      <w:szCs w:val="16"/>
    </w:rPr>
  </w:style>
  <w:style w:type="paragraph" w:styleId="BodyText">
    <w:name w:val="Body Text"/>
    <w:basedOn w:val="Normal"/>
    <w:link w:val="BodyTextChar"/>
    <w:uiPriority w:val="1"/>
    <w:qFormat/>
    <w:rsid w:val="005E029A"/>
    <w:pPr>
      <w:adjustRightInd/>
    </w:pPr>
    <w:rPr>
      <w:rFonts w:eastAsia="Times New Roman"/>
    </w:rPr>
  </w:style>
  <w:style w:type="character" w:customStyle="1" w:styleId="BodyTextChar">
    <w:name w:val="Body Text Char"/>
    <w:basedOn w:val="DefaultParagraphFont"/>
    <w:link w:val="BodyText"/>
    <w:uiPriority w:val="1"/>
    <w:rsid w:val="005E029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FB90140E9BF42AD09341FE29C5CFE" ma:contentTypeVersion="18" ma:contentTypeDescription="Create a new document." ma:contentTypeScope="" ma:versionID="e0c157f61532a9e145b50cade87da7a4">
  <xsd:schema xmlns:xsd="http://www.w3.org/2001/XMLSchema" xmlns:xs="http://www.w3.org/2001/XMLSchema" xmlns:p="http://schemas.microsoft.com/office/2006/metadata/properties" xmlns:ns2="cc030b43-fdcb-4630-ae31-4aa7c2786a8d" xmlns:ns3="45e173c6-b018-4188-b686-d00fdf5b4e64" targetNamespace="http://schemas.microsoft.com/office/2006/metadata/properties" ma:root="true" ma:fieldsID="ec1e5d65e62a24a80ad87fe2eac7fa1f" ns2:_="" ns3:_="">
    <xsd:import namespace="cc030b43-fdcb-4630-ae31-4aa7c2786a8d"/>
    <xsd:import namespace="45e173c6-b018-4188-b686-d00fdf5b4e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30b43-fdcb-4630-ae31-4aa7c2786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b4150c0-7330-46bf-9644-e0a979dcba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173c6-b018-4188-b686-d00fdf5b4e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b708287-79be-42ab-b1ff-1658dab56a2a}" ma:internalName="TaxCatchAll" ma:showField="CatchAllData" ma:web="45e173c6-b018-4188-b686-d00fdf5b4e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5e173c6-b018-4188-b686-d00fdf5b4e64" xsi:nil="true"/>
    <lcf76f155ced4ddcb4097134ff3c332f xmlns="cc030b43-fdcb-4630-ae31-4aa7c2786a8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6AE56-39E9-4410-B3E7-9621A70E7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30b43-fdcb-4630-ae31-4aa7c2786a8d"/>
    <ds:schemaRef ds:uri="45e173c6-b018-4188-b686-d00fdf5b4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3B4A9-4F57-4E84-9140-B237D3376AA3}">
  <ds:schemaRefs>
    <ds:schemaRef ds:uri="http://schemas.openxmlformats.org/officeDocument/2006/bibliography"/>
  </ds:schemaRefs>
</ds:datastoreItem>
</file>

<file path=customXml/itemProps3.xml><?xml version="1.0" encoding="utf-8"?>
<ds:datastoreItem xmlns:ds="http://schemas.openxmlformats.org/officeDocument/2006/customXml" ds:itemID="{953E8E77-E505-488E-B57F-772CEEF45470}">
  <ds:schemaRefs>
    <ds:schemaRef ds:uri="http://schemas.microsoft.com/office/2006/metadata/properties"/>
    <ds:schemaRef ds:uri="http://schemas.microsoft.com/office/infopath/2007/PartnerControls"/>
    <ds:schemaRef ds:uri="45e173c6-b018-4188-b686-d00fdf5b4e64"/>
    <ds:schemaRef ds:uri="cc030b43-fdcb-4630-ae31-4aa7c2786a8d"/>
  </ds:schemaRefs>
</ds:datastoreItem>
</file>

<file path=customXml/itemProps4.xml><?xml version="1.0" encoding="utf-8"?>
<ds:datastoreItem xmlns:ds="http://schemas.openxmlformats.org/officeDocument/2006/customXml" ds:itemID="{37ADBAF0-FA7C-4F0D-A672-B1A42BDADF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2948</Words>
  <Characters>14156</Characters>
  <Application>Microsoft Office Word</Application>
  <DocSecurity>0</DocSecurity>
  <Lines>262</Lines>
  <Paragraphs>68</Paragraphs>
  <ScaleCrop>false</ScaleCrop>
  <Company>City of Jacksonville</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Jennie Buono</cp:lastModifiedBy>
  <cp:revision>3</cp:revision>
  <cp:lastPrinted>2023-03-31T15:00:00Z</cp:lastPrinted>
  <dcterms:created xsi:type="dcterms:W3CDTF">2024-04-26T21:24:00Z</dcterms:created>
  <dcterms:modified xsi:type="dcterms:W3CDTF">2026-02-03T16:11:00Z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0x01010059BFB90140E9BF42AD09341FE29C5CFE</vt:lpwstr>
  </property>
  <property fmtid="{D5CDD505-2E9C-101B-9397-08002B2CF9AE}" pid="3" name="MediaServiceImageTags">
    <vt:lpwstr/>
  </property>
</Properties>
</file>