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FFB5" w14:textId="77777777" w:rsidR="00CB17BB" w:rsidRDefault="00CB17BB" w:rsidP="00F1457C">
      <w:pPr>
        <w:pStyle w:val="Title"/>
        <w:widowControl/>
        <w:spacing w:line="249" w:lineRule="auto"/>
      </w:pPr>
    </w:p>
    <w:p w14:paraId="369EF5A8" w14:textId="50DDE1D7" w:rsidR="00B519B1" w:rsidRDefault="00F1457C" w:rsidP="00F1457C">
      <w:pPr>
        <w:pStyle w:val="Title"/>
        <w:widowControl/>
        <w:spacing w:line="249" w:lineRule="auto"/>
      </w:pPr>
      <w:r>
        <w:t>PROCEDURES FOR SCHEDULING F.S. 90.702 (“</w:t>
      </w:r>
      <w:r>
        <w:rPr>
          <w:i/>
        </w:rPr>
        <w:t>DAUBERT</w:t>
      </w:r>
      <w:r>
        <w:t>”)</w:t>
      </w:r>
      <w:r w:rsidR="000A28A5">
        <w:rPr>
          <w:rStyle w:val="FootnoteReference"/>
        </w:rPr>
        <w:footnoteReference w:id="1"/>
      </w:r>
      <w:r>
        <w:rPr>
          <w:spacing w:val="-9"/>
        </w:rPr>
        <w:t xml:space="preserve"> </w:t>
      </w:r>
      <w:r>
        <w:t>TYPE</w:t>
      </w:r>
      <w:r>
        <w:rPr>
          <w:spacing w:val="-6"/>
        </w:rPr>
        <w:t xml:space="preserve"> </w:t>
      </w:r>
      <w:r>
        <w:t>HEARINGS</w:t>
      </w:r>
      <w:r>
        <w:rPr>
          <w:spacing w:val="-8"/>
        </w:rPr>
        <w:t xml:space="preserve"> </w:t>
      </w:r>
      <w:r>
        <w:t>IN</w:t>
      </w:r>
      <w:r>
        <w:rPr>
          <w:spacing w:val="-8"/>
        </w:rPr>
        <w:t xml:space="preserve"> </w:t>
      </w:r>
      <w:r w:rsidR="00E070F0">
        <w:t>DIVISION L</w:t>
      </w:r>
    </w:p>
    <w:p w14:paraId="0B4310A4" w14:textId="77777777" w:rsidR="00B519B1" w:rsidRDefault="00F1457C" w:rsidP="00F1457C">
      <w:pPr>
        <w:pStyle w:val="BodyText"/>
        <w:widowControl/>
        <w:spacing w:before="249"/>
        <w:ind w:left="100" w:right="217" w:firstLine="719"/>
        <w:jc w:val="both"/>
      </w:pPr>
      <w:r>
        <w:t>Hearing time requested by Counsel for motions entitled “</w:t>
      </w:r>
      <w:r>
        <w:rPr>
          <w:i/>
        </w:rPr>
        <w:t xml:space="preserve">Daubert </w:t>
      </w:r>
      <w:r>
        <w:t xml:space="preserve">Motions”, matters related to </w:t>
      </w:r>
      <w:r>
        <w:rPr>
          <w:i/>
        </w:rPr>
        <w:t xml:space="preserve">Daubert </w:t>
      </w:r>
      <w:r>
        <w:t>or any other expert witness issues, or Motion(s) to Exclude Novel Opinion(s) of Expert(s) shall be treated as requests for a “</w:t>
      </w:r>
      <w:r>
        <w:rPr>
          <w:i/>
        </w:rPr>
        <w:t xml:space="preserve">Daubert </w:t>
      </w:r>
      <w:r>
        <w:t xml:space="preserve">Hearing” pursuant to Florida Statute </w:t>
      </w:r>
      <w:r>
        <w:rPr>
          <w:spacing w:val="-2"/>
        </w:rPr>
        <w:t>90.702.</w:t>
      </w:r>
    </w:p>
    <w:p w14:paraId="26E2188E" w14:textId="77777777" w:rsidR="00B519B1" w:rsidRDefault="00B519B1" w:rsidP="00F1457C">
      <w:pPr>
        <w:pStyle w:val="BodyText"/>
        <w:widowControl/>
      </w:pPr>
    </w:p>
    <w:p w14:paraId="4AD4C32C" w14:textId="16536551" w:rsidR="00B519B1" w:rsidRDefault="00F1457C" w:rsidP="00F1457C">
      <w:pPr>
        <w:pStyle w:val="BodyText"/>
        <w:widowControl/>
        <w:ind w:left="100" w:right="217" w:firstLine="719"/>
        <w:jc w:val="both"/>
        <w:rPr>
          <w:b/>
        </w:rPr>
      </w:pPr>
      <w:r>
        <w:t xml:space="preserve">Hearings to determine the admissibility of opinion testimony by experts must be heard prior to the Pre-Trial Conference and can be </w:t>
      </w:r>
      <w:proofErr w:type="gramStart"/>
      <w:r>
        <w:t>time consuming</w:t>
      </w:r>
      <w:proofErr w:type="gramEnd"/>
      <w:r>
        <w:t>.</w:t>
      </w:r>
      <w:r>
        <w:rPr>
          <w:spacing w:val="40"/>
        </w:rPr>
        <w:t xml:space="preserve"> </w:t>
      </w:r>
      <w:r>
        <w:t>By statutory definition these hearings will be evidentiary in nature.</w:t>
      </w:r>
      <w:r>
        <w:rPr>
          <w:spacing w:val="80"/>
        </w:rPr>
        <w:t xml:space="preserve"> </w:t>
      </w:r>
      <w:r>
        <w:t>Therefore, testimony will probably be required.</w:t>
      </w:r>
      <w:r w:rsidR="007E443C">
        <w:rPr>
          <w:rStyle w:val="FootnoteReference"/>
        </w:rPr>
        <w:footnoteReference w:id="2"/>
      </w:r>
      <w:r>
        <w:t xml:space="preserve"> However, the Court has discretion in whether a hearing is required and how to conduct any proceedings.</w:t>
      </w:r>
      <w:r w:rsidR="00BF5507">
        <w:rPr>
          <w:rStyle w:val="FootnoteReference"/>
        </w:rPr>
        <w:footnoteReference w:id="3"/>
      </w:r>
      <w:r>
        <w:rPr>
          <w:spacing w:val="40"/>
        </w:rPr>
        <w:t xml:space="preserve"> </w:t>
      </w:r>
      <w:r>
        <w:t>The Court has the discretion to conduct a paper review only, a hearing with argument, an evidentiary hearing, or defer ruling until the time of trial.</w:t>
      </w:r>
      <w:r>
        <w:rPr>
          <w:spacing w:val="40"/>
        </w:rPr>
        <w:t xml:space="preserve"> </w:t>
      </w:r>
      <w:r>
        <w:t>In any event, sufficient hearing time will have to be set aside within the Court’s extremely busy docket, and, therefore, once scheduled, such hearings will not be continued without a court order.</w:t>
      </w:r>
      <w:r>
        <w:rPr>
          <w:spacing w:val="40"/>
        </w:rPr>
        <w:t xml:space="preserve"> </w:t>
      </w:r>
      <w:r>
        <w:rPr>
          <w:b/>
        </w:rPr>
        <w:t>ALL HEARINGS OF THIS NATURE MUST BE SCHEDULED AND HEARD AT LEAST THIRTY (30) DAYS PRIOR TO THE PRE-TRIAL CONFERENCE.</w:t>
      </w:r>
    </w:p>
    <w:p w14:paraId="5F5042AD" w14:textId="77777777" w:rsidR="00B519B1" w:rsidRDefault="00B519B1" w:rsidP="00F1457C">
      <w:pPr>
        <w:pStyle w:val="BodyText"/>
        <w:widowControl/>
        <w:spacing w:before="1"/>
        <w:rPr>
          <w:b/>
        </w:rPr>
      </w:pPr>
    </w:p>
    <w:p w14:paraId="251AE2EE" w14:textId="77777777" w:rsidR="00B519B1" w:rsidRDefault="00F1457C" w:rsidP="00F1457C">
      <w:pPr>
        <w:pStyle w:val="BodyText"/>
        <w:widowControl/>
        <w:ind w:left="100" w:right="217" w:firstLine="719"/>
        <w:jc w:val="both"/>
      </w:pPr>
      <w:r>
        <w:t>Accordingly, the following procedures and considerations are hereby set forth to inform and govern counsel raising any expert witness issues:</w:t>
      </w:r>
    </w:p>
    <w:p w14:paraId="13809683" w14:textId="77777777" w:rsidR="00B519B1" w:rsidRDefault="00B519B1" w:rsidP="00F1457C">
      <w:pPr>
        <w:pStyle w:val="BodyText"/>
        <w:widowControl/>
      </w:pPr>
    </w:p>
    <w:p w14:paraId="471ACF18" w14:textId="73024344" w:rsidR="00B519B1" w:rsidRDefault="00F1457C" w:rsidP="00F1457C">
      <w:pPr>
        <w:pStyle w:val="ListParagraph"/>
        <w:widowControl/>
        <w:numPr>
          <w:ilvl w:val="0"/>
          <w:numId w:val="2"/>
        </w:numPr>
        <w:tabs>
          <w:tab w:val="left" w:pos="1541"/>
        </w:tabs>
        <w:ind w:right="221" w:firstLine="719"/>
        <w:rPr>
          <w:sz w:val="24"/>
        </w:rPr>
      </w:pPr>
      <w:r>
        <w:rPr>
          <w:sz w:val="24"/>
        </w:rPr>
        <w:t xml:space="preserve">Counsel for the parties shall familiarize themselves with </w:t>
      </w:r>
      <w:proofErr w:type="gramStart"/>
      <w:r>
        <w:rPr>
          <w:sz w:val="24"/>
        </w:rPr>
        <w:t>all of</w:t>
      </w:r>
      <w:proofErr w:type="gramEnd"/>
      <w:r>
        <w:rPr>
          <w:sz w:val="24"/>
        </w:rPr>
        <w:t xml:space="preserve"> the provisions of the </w:t>
      </w:r>
      <w:r w:rsidR="002F0276" w:rsidRPr="00C20BF6">
        <w:rPr>
          <w:i/>
          <w:iCs/>
          <w:sz w:val="24"/>
        </w:rPr>
        <w:t xml:space="preserve">Case Management </w:t>
      </w:r>
      <w:r w:rsidR="00D55016" w:rsidRPr="00C20BF6">
        <w:rPr>
          <w:i/>
          <w:iCs/>
          <w:sz w:val="24"/>
        </w:rPr>
        <w:t>Plan and Order</w:t>
      </w:r>
      <w:r w:rsidR="00D55016">
        <w:rPr>
          <w:sz w:val="24"/>
        </w:rPr>
        <w:t xml:space="preserve"> and </w:t>
      </w:r>
      <w:r>
        <w:rPr>
          <w:i/>
          <w:sz w:val="24"/>
        </w:rPr>
        <w:t xml:space="preserve">Order Setting Case for Trial and </w:t>
      </w:r>
      <w:r w:rsidR="00F506F6">
        <w:rPr>
          <w:i/>
          <w:sz w:val="24"/>
        </w:rPr>
        <w:t>Directing</w:t>
      </w:r>
      <w:r w:rsidR="000F3845">
        <w:rPr>
          <w:i/>
          <w:sz w:val="24"/>
        </w:rPr>
        <w:t xml:space="preserve"> </w:t>
      </w:r>
      <w:r>
        <w:rPr>
          <w:i/>
          <w:sz w:val="24"/>
        </w:rPr>
        <w:t xml:space="preserve">Pre-Trial </w:t>
      </w:r>
      <w:r w:rsidR="00D55016">
        <w:rPr>
          <w:i/>
          <w:sz w:val="24"/>
        </w:rPr>
        <w:t>Compliance</w:t>
      </w:r>
      <w:r w:rsidR="000F3845">
        <w:rPr>
          <w:i/>
          <w:sz w:val="24"/>
        </w:rPr>
        <w:t xml:space="preserve"> prior to the Pre-Trial Conference</w:t>
      </w:r>
      <w:r>
        <w:rPr>
          <w:i/>
          <w:spacing w:val="-1"/>
          <w:sz w:val="24"/>
        </w:rPr>
        <w:t xml:space="preserve"> </w:t>
      </w:r>
      <w:r>
        <w:rPr>
          <w:sz w:val="24"/>
        </w:rPr>
        <w:t>entered by</w:t>
      </w:r>
      <w:r>
        <w:rPr>
          <w:spacing w:val="-6"/>
          <w:sz w:val="24"/>
        </w:rPr>
        <w:t xml:space="preserve"> </w:t>
      </w:r>
      <w:r>
        <w:rPr>
          <w:sz w:val="24"/>
        </w:rPr>
        <w:t>this</w:t>
      </w:r>
      <w:r>
        <w:rPr>
          <w:spacing w:val="-1"/>
          <w:sz w:val="24"/>
        </w:rPr>
        <w:t xml:space="preserve"> </w:t>
      </w:r>
      <w:r>
        <w:rPr>
          <w:sz w:val="24"/>
        </w:rPr>
        <w:t>Court,</w:t>
      </w:r>
      <w:r>
        <w:rPr>
          <w:spacing w:val="-2"/>
          <w:sz w:val="24"/>
        </w:rPr>
        <w:t xml:space="preserve"> </w:t>
      </w:r>
      <w:r>
        <w:rPr>
          <w:sz w:val="24"/>
        </w:rPr>
        <w:t>including</w:t>
      </w:r>
      <w:r>
        <w:rPr>
          <w:spacing w:val="-1"/>
          <w:sz w:val="24"/>
        </w:rPr>
        <w:t xml:space="preserve"> </w:t>
      </w:r>
      <w:r>
        <w:rPr>
          <w:sz w:val="24"/>
        </w:rPr>
        <w:t>the</w:t>
      </w:r>
      <w:r>
        <w:rPr>
          <w:spacing w:val="-2"/>
          <w:sz w:val="24"/>
        </w:rPr>
        <w:t xml:space="preserve"> </w:t>
      </w:r>
      <w:r>
        <w:rPr>
          <w:sz w:val="24"/>
        </w:rPr>
        <w:t>specific provisions governing “</w:t>
      </w:r>
      <w:r>
        <w:rPr>
          <w:i/>
          <w:sz w:val="24"/>
        </w:rPr>
        <w:t xml:space="preserve">Daubert </w:t>
      </w:r>
      <w:r>
        <w:rPr>
          <w:sz w:val="24"/>
        </w:rPr>
        <w:t>or other expert witness issues.”</w:t>
      </w:r>
    </w:p>
    <w:p w14:paraId="6A87ABB3" w14:textId="77777777" w:rsidR="00B519B1" w:rsidRDefault="00B519B1" w:rsidP="00F1457C">
      <w:pPr>
        <w:pStyle w:val="BodyText"/>
        <w:widowControl/>
      </w:pPr>
    </w:p>
    <w:p w14:paraId="71D2E603" w14:textId="046C535F" w:rsidR="00B519B1" w:rsidRDefault="00F1457C" w:rsidP="00F1457C">
      <w:pPr>
        <w:pStyle w:val="ListParagraph"/>
        <w:widowControl/>
        <w:numPr>
          <w:ilvl w:val="0"/>
          <w:numId w:val="2"/>
        </w:numPr>
        <w:tabs>
          <w:tab w:val="left" w:pos="1541"/>
        </w:tabs>
        <w:spacing w:before="1"/>
        <w:ind w:right="215" w:firstLine="719"/>
        <w:rPr>
          <w:sz w:val="24"/>
        </w:rPr>
      </w:pPr>
      <w:r>
        <w:rPr>
          <w:sz w:val="24"/>
        </w:rPr>
        <w:t xml:space="preserve">Although the Court has broad discretion in deciding how to manage its </w:t>
      </w:r>
      <w:r>
        <w:rPr>
          <w:i/>
          <w:sz w:val="24"/>
        </w:rPr>
        <w:t xml:space="preserve">Daubert </w:t>
      </w:r>
      <w:r>
        <w:rPr>
          <w:sz w:val="24"/>
        </w:rPr>
        <w:t>gatekeeper function,</w:t>
      </w:r>
      <w:r w:rsidR="00183D47">
        <w:rPr>
          <w:rStyle w:val="FootnoteReference"/>
          <w:sz w:val="24"/>
        </w:rPr>
        <w:footnoteReference w:id="4"/>
      </w:r>
      <w:r>
        <w:rPr>
          <w:sz w:val="24"/>
        </w:rPr>
        <w:t xml:space="preserve"> counsel have an obligation to raise a </w:t>
      </w:r>
      <w:r>
        <w:rPr>
          <w:i/>
          <w:sz w:val="24"/>
        </w:rPr>
        <w:t xml:space="preserve">Daubert </w:t>
      </w:r>
      <w:r>
        <w:rPr>
          <w:sz w:val="24"/>
        </w:rPr>
        <w:t>challenge as soon as the</w:t>
      </w:r>
      <w:r>
        <w:rPr>
          <w:spacing w:val="40"/>
          <w:sz w:val="24"/>
        </w:rPr>
        <w:t xml:space="preserve"> </w:t>
      </w:r>
      <w:r>
        <w:rPr>
          <w:sz w:val="24"/>
        </w:rPr>
        <w:t>party is reasonably aware of the basis for it.</w:t>
      </w:r>
      <w:r w:rsidR="004F15EA">
        <w:rPr>
          <w:rStyle w:val="FootnoteReference"/>
          <w:sz w:val="24"/>
        </w:rPr>
        <w:footnoteReference w:id="5"/>
      </w:r>
      <w:r>
        <w:rPr>
          <w:spacing w:val="40"/>
          <w:sz w:val="24"/>
        </w:rPr>
        <w:t xml:space="preserve"> </w:t>
      </w:r>
      <w:r>
        <w:rPr>
          <w:sz w:val="24"/>
        </w:rPr>
        <w:t xml:space="preserve">Absent “exceptional circumstances,” an untimely </w:t>
      </w:r>
      <w:r>
        <w:rPr>
          <w:i/>
          <w:sz w:val="24"/>
        </w:rPr>
        <w:t xml:space="preserve">Daubert </w:t>
      </w:r>
      <w:r>
        <w:rPr>
          <w:sz w:val="24"/>
        </w:rPr>
        <w:t>motion will not be considered by the Court.</w:t>
      </w:r>
      <w:r w:rsidR="004F15EA">
        <w:rPr>
          <w:rStyle w:val="FootnoteReference"/>
          <w:sz w:val="24"/>
        </w:rPr>
        <w:footnoteReference w:id="6"/>
      </w:r>
      <w:r>
        <w:rPr>
          <w:spacing w:val="40"/>
          <w:sz w:val="24"/>
        </w:rPr>
        <w:t xml:space="preserve"> </w:t>
      </w:r>
      <w:r>
        <w:rPr>
          <w:sz w:val="24"/>
        </w:rPr>
        <w:t xml:space="preserve">After filing the </w:t>
      </w:r>
      <w:r>
        <w:rPr>
          <w:i/>
          <w:sz w:val="24"/>
        </w:rPr>
        <w:t xml:space="preserve">Daubert </w:t>
      </w:r>
      <w:r>
        <w:rPr>
          <w:sz w:val="24"/>
        </w:rPr>
        <w:t>motion, the moving party has an obligation to advance the motion by bringing it to the Court’s attention and timely seeking a hearing.</w:t>
      </w:r>
      <w:r>
        <w:rPr>
          <w:spacing w:val="40"/>
          <w:sz w:val="24"/>
        </w:rPr>
        <w:t xml:space="preserve"> </w:t>
      </w:r>
      <w:r>
        <w:rPr>
          <w:sz w:val="24"/>
        </w:rPr>
        <w:t>The Court shall consider the failure to do so a waiver.</w:t>
      </w:r>
      <w:r w:rsidR="0067093A">
        <w:rPr>
          <w:rStyle w:val="FootnoteReference"/>
          <w:sz w:val="24"/>
        </w:rPr>
        <w:footnoteReference w:id="7"/>
      </w:r>
    </w:p>
    <w:p w14:paraId="1B79E019" w14:textId="0EAD8E00" w:rsidR="00B519B1" w:rsidRDefault="00B519B1" w:rsidP="00F1457C">
      <w:pPr>
        <w:pStyle w:val="BodyText"/>
        <w:widowControl/>
        <w:spacing w:before="9"/>
        <w:rPr>
          <w:sz w:val="22"/>
        </w:rPr>
      </w:pPr>
    </w:p>
    <w:p w14:paraId="6BF43470" w14:textId="1C21D47A" w:rsidR="00B519B1" w:rsidRDefault="00F1457C" w:rsidP="00F1457C">
      <w:pPr>
        <w:pStyle w:val="ListParagraph"/>
        <w:widowControl/>
        <w:numPr>
          <w:ilvl w:val="0"/>
          <w:numId w:val="2"/>
        </w:numPr>
        <w:tabs>
          <w:tab w:val="left" w:pos="1541"/>
        </w:tabs>
        <w:spacing w:before="164"/>
        <w:ind w:right="214" w:firstLine="719"/>
        <w:rPr>
          <w:sz w:val="24"/>
        </w:rPr>
      </w:pPr>
      <w:r>
        <w:rPr>
          <w:sz w:val="24"/>
        </w:rPr>
        <w:lastRenderedPageBreak/>
        <w:t xml:space="preserve">A </w:t>
      </w:r>
      <w:r>
        <w:rPr>
          <w:i/>
          <w:sz w:val="24"/>
        </w:rPr>
        <w:t xml:space="preserve">Daubert </w:t>
      </w:r>
      <w:r>
        <w:rPr>
          <w:sz w:val="24"/>
        </w:rPr>
        <w:t>challenge shall not begin until a timely, proper, and facially sufficient motion is served.</w:t>
      </w:r>
      <w:r>
        <w:rPr>
          <w:spacing w:val="40"/>
          <w:sz w:val="24"/>
        </w:rPr>
        <w:t xml:space="preserve"> </w:t>
      </w:r>
      <w:r>
        <w:rPr>
          <w:sz w:val="24"/>
        </w:rPr>
        <w:t>Once timely raised, the Court as the gatekeeper “must determine whether the objection was sufficient to put opposing counsel on notice so as to have the opportunity to address any perceived defect in the expert’s testimony.”</w:t>
      </w:r>
      <w:r w:rsidR="00DD6659">
        <w:rPr>
          <w:rStyle w:val="FootnoteReference"/>
          <w:sz w:val="24"/>
        </w:rPr>
        <w:footnoteReference w:id="8"/>
      </w:r>
      <w:r>
        <w:rPr>
          <w:spacing w:val="80"/>
          <w:sz w:val="24"/>
        </w:rPr>
        <w:t xml:space="preserve"> </w:t>
      </w:r>
      <w:r>
        <w:rPr>
          <w:sz w:val="24"/>
        </w:rPr>
        <w:t xml:space="preserve">A proper </w:t>
      </w:r>
      <w:r>
        <w:rPr>
          <w:i/>
          <w:sz w:val="24"/>
        </w:rPr>
        <w:t xml:space="preserve">Daubert </w:t>
      </w:r>
      <w:r>
        <w:rPr>
          <w:sz w:val="24"/>
        </w:rPr>
        <w:t>motion must</w:t>
      </w:r>
      <w:r>
        <w:rPr>
          <w:spacing w:val="40"/>
          <w:sz w:val="24"/>
        </w:rPr>
        <w:t xml:space="preserve"> </w:t>
      </w:r>
      <w:r>
        <w:rPr>
          <w:sz w:val="24"/>
        </w:rPr>
        <w:t>identify the source, substance, and methodology of the challenged testimony.</w:t>
      </w:r>
      <w:r w:rsidR="00DD6659">
        <w:rPr>
          <w:rStyle w:val="FootnoteReference"/>
          <w:sz w:val="24"/>
        </w:rPr>
        <w:footnoteReference w:id="9"/>
      </w:r>
      <w:r>
        <w:rPr>
          <w:spacing w:val="80"/>
          <w:sz w:val="24"/>
        </w:rPr>
        <w:t xml:space="preserve"> </w:t>
      </w:r>
      <w:r>
        <w:rPr>
          <w:sz w:val="24"/>
        </w:rPr>
        <w:t>If the motion is not supported by conflicting expert testimony and literature, the Court shall be justified in declining to hear the motion.</w:t>
      </w:r>
      <w:r w:rsidR="00DD6659">
        <w:rPr>
          <w:rStyle w:val="FootnoteReference"/>
          <w:sz w:val="24"/>
        </w:rPr>
        <w:footnoteReference w:id="10"/>
      </w:r>
      <w:r>
        <w:rPr>
          <w:sz w:val="24"/>
        </w:rPr>
        <w:t xml:space="preserve"> “</w:t>
      </w:r>
      <w:r>
        <w:rPr>
          <w:i/>
          <w:sz w:val="24"/>
        </w:rPr>
        <w:t xml:space="preserve">Daubert </w:t>
      </w:r>
      <w:r>
        <w:rPr>
          <w:sz w:val="24"/>
        </w:rPr>
        <w:t>objections must be directed to specific opinion testimony and ‘state a basis for the objection beyond just stating [the party] was raising a</w:t>
      </w:r>
      <w:r>
        <w:rPr>
          <w:spacing w:val="40"/>
          <w:sz w:val="24"/>
        </w:rPr>
        <w:t xml:space="preserve"> </w:t>
      </w:r>
      <w:r>
        <w:rPr>
          <w:i/>
          <w:sz w:val="24"/>
        </w:rPr>
        <w:t xml:space="preserve">Daubert </w:t>
      </w:r>
      <w:r>
        <w:rPr>
          <w:sz w:val="24"/>
        </w:rPr>
        <w:t>objection, in order to allow opposing counsel an opportunity to have the [expert]</w:t>
      </w:r>
      <w:r>
        <w:rPr>
          <w:spacing w:val="40"/>
          <w:sz w:val="24"/>
        </w:rPr>
        <w:t xml:space="preserve"> </w:t>
      </w:r>
      <w:r>
        <w:rPr>
          <w:sz w:val="24"/>
        </w:rPr>
        <w:t>address the perceived defect in his testimony.’”</w:t>
      </w:r>
      <w:r w:rsidR="000F71F0">
        <w:rPr>
          <w:rStyle w:val="FootnoteReference"/>
          <w:sz w:val="24"/>
        </w:rPr>
        <w:footnoteReference w:id="11"/>
      </w:r>
    </w:p>
    <w:p w14:paraId="128C8FAC" w14:textId="77777777" w:rsidR="00B519B1" w:rsidRDefault="00B519B1" w:rsidP="00F1457C">
      <w:pPr>
        <w:pStyle w:val="BodyText"/>
        <w:widowControl/>
        <w:spacing w:before="1"/>
      </w:pPr>
    </w:p>
    <w:p w14:paraId="35706B03" w14:textId="77777777" w:rsidR="00B519B1" w:rsidRDefault="00F1457C" w:rsidP="00F1457C">
      <w:pPr>
        <w:pStyle w:val="ListParagraph"/>
        <w:widowControl/>
        <w:numPr>
          <w:ilvl w:val="0"/>
          <w:numId w:val="2"/>
        </w:numPr>
        <w:tabs>
          <w:tab w:val="left" w:pos="1541"/>
        </w:tabs>
        <w:ind w:right="222" w:firstLine="719"/>
        <w:rPr>
          <w:sz w:val="24"/>
        </w:rPr>
      </w:pPr>
      <w:r>
        <w:rPr>
          <w:sz w:val="24"/>
        </w:rPr>
        <w:t xml:space="preserve">Generally, in most cases, the </w:t>
      </w:r>
      <w:r>
        <w:rPr>
          <w:i/>
          <w:sz w:val="24"/>
        </w:rPr>
        <w:t xml:space="preserve">Daubert </w:t>
      </w:r>
      <w:r>
        <w:rPr>
          <w:sz w:val="24"/>
        </w:rPr>
        <w:t>challenge will focus on one or more of the following major areas:</w:t>
      </w:r>
    </w:p>
    <w:p w14:paraId="34C62E67" w14:textId="77777777" w:rsidR="00B519B1" w:rsidRDefault="00B519B1" w:rsidP="00F1457C">
      <w:pPr>
        <w:pStyle w:val="BodyText"/>
        <w:widowControl/>
      </w:pPr>
    </w:p>
    <w:p w14:paraId="31EEF6DE" w14:textId="44BFAFAB" w:rsidR="00B519B1" w:rsidRDefault="00F1457C" w:rsidP="00F1457C">
      <w:pPr>
        <w:pStyle w:val="ListParagraph"/>
        <w:widowControl/>
        <w:numPr>
          <w:ilvl w:val="1"/>
          <w:numId w:val="2"/>
        </w:numPr>
        <w:tabs>
          <w:tab w:val="left" w:pos="2261"/>
        </w:tabs>
        <w:ind w:right="1026" w:firstLine="720"/>
        <w:rPr>
          <w:sz w:val="24"/>
        </w:rPr>
      </w:pPr>
      <w:r>
        <w:rPr>
          <w:b/>
          <w:i/>
          <w:sz w:val="24"/>
        </w:rPr>
        <w:t>Qualifications</w:t>
      </w:r>
      <w:r>
        <w:rPr>
          <w:b/>
          <w:sz w:val="24"/>
        </w:rPr>
        <w:t>:</w:t>
      </w:r>
      <w:r>
        <w:rPr>
          <w:b/>
          <w:spacing w:val="80"/>
          <w:sz w:val="24"/>
        </w:rPr>
        <w:t xml:space="preserve"> </w:t>
      </w:r>
      <w:r>
        <w:rPr>
          <w:sz w:val="24"/>
        </w:rPr>
        <w:t>The expert must demonstrate knowledge</w:t>
      </w:r>
      <w:r>
        <w:rPr>
          <w:spacing w:val="40"/>
          <w:sz w:val="24"/>
        </w:rPr>
        <w:t xml:space="preserve"> </w:t>
      </w:r>
      <w:r>
        <w:rPr>
          <w:sz w:val="24"/>
        </w:rPr>
        <w:t>“beyond the understanding of the average person.”</w:t>
      </w:r>
      <w:r w:rsidR="000F71F0">
        <w:rPr>
          <w:rStyle w:val="FootnoteReference"/>
          <w:sz w:val="24"/>
        </w:rPr>
        <w:footnoteReference w:id="12"/>
      </w:r>
      <w:r>
        <w:rPr>
          <w:sz w:val="24"/>
        </w:rPr>
        <w:t xml:space="preserve"> A witness can be qualified as an expert by “knowledge, skill, experience, training, or education.”</w:t>
      </w:r>
      <w:r w:rsidR="008E0A69">
        <w:rPr>
          <w:rStyle w:val="FootnoteReference"/>
          <w:sz w:val="24"/>
        </w:rPr>
        <w:footnoteReference w:id="13"/>
      </w:r>
    </w:p>
    <w:p w14:paraId="37816722" w14:textId="77777777" w:rsidR="00B519B1" w:rsidRDefault="00B519B1" w:rsidP="00F1457C">
      <w:pPr>
        <w:pStyle w:val="BodyText"/>
        <w:widowControl/>
      </w:pPr>
    </w:p>
    <w:p w14:paraId="7A5E5DF0" w14:textId="391A0617" w:rsidR="00B519B1" w:rsidRDefault="00F1457C" w:rsidP="00F1457C">
      <w:pPr>
        <w:pStyle w:val="ListParagraph"/>
        <w:widowControl/>
        <w:numPr>
          <w:ilvl w:val="1"/>
          <w:numId w:val="2"/>
        </w:numPr>
        <w:tabs>
          <w:tab w:val="left" w:pos="2261"/>
        </w:tabs>
        <w:ind w:right="1025" w:firstLine="720"/>
        <w:rPr>
          <w:sz w:val="24"/>
        </w:rPr>
      </w:pPr>
      <w:r>
        <w:rPr>
          <w:b/>
          <w:i/>
          <w:sz w:val="24"/>
        </w:rPr>
        <w:t>Relevance</w:t>
      </w:r>
      <w:r>
        <w:rPr>
          <w:b/>
          <w:i/>
          <w:spacing w:val="-4"/>
          <w:sz w:val="24"/>
        </w:rPr>
        <w:t xml:space="preserve"> </w:t>
      </w:r>
      <w:r>
        <w:rPr>
          <w:b/>
          <w:i/>
          <w:sz w:val="24"/>
        </w:rPr>
        <w:t>and</w:t>
      </w:r>
      <w:r>
        <w:rPr>
          <w:b/>
          <w:i/>
          <w:spacing w:val="-3"/>
          <w:sz w:val="24"/>
        </w:rPr>
        <w:t xml:space="preserve"> </w:t>
      </w:r>
      <w:r>
        <w:rPr>
          <w:b/>
          <w:i/>
          <w:sz w:val="24"/>
        </w:rPr>
        <w:t>Helpfulness</w:t>
      </w:r>
      <w:r>
        <w:rPr>
          <w:b/>
          <w:sz w:val="24"/>
        </w:rPr>
        <w:t>:</w:t>
      </w:r>
      <w:r>
        <w:rPr>
          <w:b/>
          <w:spacing w:val="40"/>
          <w:sz w:val="24"/>
        </w:rPr>
        <w:t xml:space="preserve"> </w:t>
      </w:r>
      <w:r>
        <w:rPr>
          <w:sz w:val="24"/>
        </w:rPr>
        <w:t>The</w:t>
      </w:r>
      <w:r>
        <w:rPr>
          <w:spacing w:val="-4"/>
          <w:sz w:val="24"/>
        </w:rPr>
        <w:t xml:space="preserve"> </w:t>
      </w:r>
      <w:r>
        <w:rPr>
          <w:sz w:val="24"/>
        </w:rPr>
        <w:t>expert</w:t>
      </w:r>
      <w:r>
        <w:rPr>
          <w:spacing w:val="-4"/>
          <w:sz w:val="24"/>
        </w:rPr>
        <w:t xml:space="preserve"> </w:t>
      </w:r>
      <w:r>
        <w:rPr>
          <w:sz w:val="24"/>
        </w:rPr>
        <w:t>testimony</w:t>
      </w:r>
      <w:r>
        <w:rPr>
          <w:spacing w:val="-6"/>
          <w:sz w:val="24"/>
        </w:rPr>
        <w:t xml:space="preserve"> </w:t>
      </w:r>
      <w:r>
        <w:rPr>
          <w:sz w:val="24"/>
        </w:rPr>
        <w:t>is</w:t>
      </w:r>
      <w:r>
        <w:rPr>
          <w:spacing w:val="-3"/>
          <w:sz w:val="24"/>
        </w:rPr>
        <w:t xml:space="preserve"> </w:t>
      </w:r>
      <w:r>
        <w:rPr>
          <w:sz w:val="24"/>
        </w:rPr>
        <w:t>relevant</w:t>
      </w:r>
      <w:r>
        <w:rPr>
          <w:spacing w:val="-3"/>
          <w:sz w:val="24"/>
        </w:rPr>
        <w:t xml:space="preserve"> </w:t>
      </w:r>
      <w:r>
        <w:rPr>
          <w:sz w:val="24"/>
        </w:rPr>
        <w:t>if</w:t>
      </w:r>
      <w:r>
        <w:rPr>
          <w:spacing w:val="-2"/>
          <w:sz w:val="24"/>
        </w:rPr>
        <w:t xml:space="preserve"> </w:t>
      </w:r>
      <w:r>
        <w:rPr>
          <w:sz w:val="24"/>
        </w:rPr>
        <w:t>it will “help”</w:t>
      </w:r>
      <w:r w:rsidR="008E0A69">
        <w:rPr>
          <w:rStyle w:val="FootnoteReference"/>
          <w:sz w:val="24"/>
        </w:rPr>
        <w:footnoteReference w:id="14"/>
      </w:r>
      <w:r>
        <w:rPr>
          <w:sz w:val="24"/>
        </w:rPr>
        <w:t xml:space="preserve"> or “assist the trier of fact in understanding the evidence or in determining</w:t>
      </w:r>
      <w:r>
        <w:rPr>
          <w:spacing w:val="-1"/>
          <w:sz w:val="24"/>
        </w:rPr>
        <w:t xml:space="preserve"> </w:t>
      </w:r>
      <w:r>
        <w:rPr>
          <w:sz w:val="24"/>
        </w:rPr>
        <w:t>a</w:t>
      </w:r>
      <w:r>
        <w:rPr>
          <w:spacing w:val="-2"/>
          <w:sz w:val="24"/>
        </w:rPr>
        <w:t xml:space="preserve"> </w:t>
      </w:r>
      <w:r>
        <w:rPr>
          <w:sz w:val="24"/>
        </w:rPr>
        <w:t>fact</w:t>
      </w:r>
      <w:r>
        <w:rPr>
          <w:spacing w:val="-1"/>
          <w:sz w:val="24"/>
        </w:rPr>
        <w:t xml:space="preserve"> </w:t>
      </w:r>
      <w:r>
        <w:rPr>
          <w:sz w:val="24"/>
        </w:rPr>
        <w:t>in</w:t>
      </w:r>
      <w:r>
        <w:rPr>
          <w:spacing w:val="-1"/>
          <w:sz w:val="24"/>
        </w:rPr>
        <w:t xml:space="preserve"> </w:t>
      </w:r>
      <w:r>
        <w:rPr>
          <w:sz w:val="24"/>
        </w:rPr>
        <w:t>issue.”</w:t>
      </w:r>
      <w:r w:rsidR="00564864">
        <w:rPr>
          <w:rStyle w:val="FootnoteReference"/>
          <w:sz w:val="24"/>
        </w:rPr>
        <w:footnoteReference w:id="15"/>
      </w:r>
      <w:r>
        <w:rPr>
          <w:sz w:val="24"/>
        </w:rPr>
        <w:t xml:space="preserve"> “Rule</w:t>
      </w:r>
      <w:r>
        <w:rPr>
          <w:spacing w:val="-2"/>
          <w:sz w:val="24"/>
        </w:rPr>
        <w:t xml:space="preserve"> </w:t>
      </w:r>
      <w:r>
        <w:rPr>
          <w:sz w:val="24"/>
        </w:rPr>
        <w:t>702’s ‘helpfulness’</w:t>
      </w:r>
      <w:r>
        <w:rPr>
          <w:spacing w:val="-2"/>
          <w:sz w:val="24"/>
        </w:rPr>
        <w:t xml:space="preserve"> </w:t>
      </w:r>
      <w:r>
        <w:rPr>
          <w:sz w:val="24"/>
        </w:rPr>
        <w:t>standard</w:t>
      </w:r>
      <w:r>
        <w:rPr>
          <w:spacing w:val="-2"/>
          <w:sz w:val="24"/>
        </w:rPr>
        <w:t xml:space="preserve"> </w:t>
      </w:r>
      <w:r>
        <w:rPr>
          <w:sz w:val="24"/>
        </w:rPr>
        <w:t>requires</w:t>
      </w:r>
      <w:r>
        <w:rPr>
          <w:spacing w:val="-1"/>
          <w:sz w:val="24"/>
        </w:rPr>
        <w:t xml:space="preserve"> </w:t>
      </w:r>
      <w:r>
        <w:rPr>
          <w:sz w:val="24"/>
        </w:rPr>
        <w:t>a valid scientific connection to the pertinent inquiry as a precondition to</w:t>
      </w:r>
      <w:r>
        <w:rPr>
          <w:spacing w:val="80"/>
          <w:sz w:val="24"/>
        </w:rPr>
        <w:t xml:space="preserve"> </w:t>
      </w:r>
      <w:r>
        <w:rPr>
          <w:sz w:val="24"/>
        </w:rPr>
        <w:t>admissibility.”</w:t>
      </w:r>
      <w:r w:rsidR="004466DB">
        <w:rPr>
          <w:rStyle w:val="FootnoteReference"/>
          <w:sz w:val="24"/>
        </w:rPr>
        <w:footnoteReference w:id="16"/>
      </w:r>
      <w:r>
        <w:rPr>
          <w:sz w:val="24"/>
        </w:rPr>
        <w:t xml:space="preserve"> This “connection” has been appropriately denominated as</w:t>
      </w:r>
      <w:r>
        <w:rPr>
          <w:spacing w:val="40"/>
          <w:sz w:val="24"/>
        </w:rPr>
        <w:t xml:space="preserve"> </w:t>
      </w:r>
      <w:r>
        <w:rPr>
          <w:spacing w:val="-2"/>
          <w:sz w:val="24"/>
        </w:rPr>
        <w:t>“fit.”</w:t>
      </w:r>
      <w:r w:rsidR="004466DB">
        <w:rPr>
          <w:rStyle w:val="FootnoteReference"/>
          <w:spacing w:val="-2"/>
          <w:sz w:val="24"/>
        </w:rPr>
        <w:footnoteReference w:id="17"/>
      </w:r>
    </w:p>
    <w:p w14:paraId="1146B12F" w14:textId="77777777" w:rsidR="00B519B1" w:rsidRDefault="00B519B1" w:rsidP="00F1457C">
      <w:pPr>
        <w:pStyle w:val="BodyText"/>
        <w:widowControl/>
      </w:pPr>
    </w:p>
    <w:p w14:paraId="336F46AE" w14:textId="0BE9F832" w:rsidR="00B519B1" w:rsidRDefault="00F1457C" w:rsidP="00F1457C">
      <w:pPr>
        <w:pStyle w:val="ListParagraph"/>
        <w:widowControl/>
        <w:numPr>
          <w:ilvl w:val="1"/>
          <w:numId w:val="2"/>
        </w:numPr>
        <w:tabs>
          <w:tab w:val="left" w:pos="2261"/>
        </w:tabs>
        <w:spacing w:before="72"/>
        <w:ind w:right="740" w:firstLine="720"/>
      </w:pPr>
      <w:r w:rsidRPr="006F2A4E">
        <w:rPr>
          <w:b/>
          <w:i/>
          <w:sz w:val="24"/>
        </w:rPr>
        <w:t>Fit:</w:t>
      </w:r>
      <w:r w:rsidRPr="006F2A4E">
        <w:rPr>
          <w:b/>
          <w:i/>
          <w:spacing w:val="40"/>
          <w:sz w:val="24"/>
        </w:rPr>
        <w:t xml:space="preserve"> </w:t>
      </w:r>
      <w:r>
        <w:rPr>
          <w:sz w:val="24"/>
        </w:rPr>
        <w:t>The Court, in performing its “gatekeeper” role of screening</w:t>
      </w:r>
      <w:r w:rsidRPr="006F2A4E">
        <w:rPr>
          <w:spacing w:val="40"/>
          <w:sz w:val="24"/>
        </w:rPr>
        <w:t xml:space="preserve"> </w:t>
      </w:r>
      <w:r>
        <w:rPr>
          <w:sz w:val="24"/>
        </w:rPr>
        <w:t>of such expert testimony, is required to analyze whether there is “too great an analytical gap between the data and the opinion proffered,”</w:t>
      </w:r>
      <w:r w:rsidR="0089557D">
        <w:rPr>
          <w:rStyle w:val="FootnoteReference"/>
          <w:sz w:val="24"/>
        </w:rPr>
        <w:footnoteReference w:id="18"/>
      </w:r>
      <w:r>
        <w:rPr>
          <w:sz w:val="24"/>
        </w:rPr>
        <w:t xml:space="preserve"> and may</w:t>
      </w:r>
      <w:r w:rsidRPr="006F2A4E">
        <w:rPr>
          <w:spacing w:val="-4"/>
          <w:sz w:val="24"/>
        </w:rPr>
        <w:t xml:space="preserve"> </w:t>
      </w:r>
      <w:r>
        <w:rPr>
          <w:sz w:val="24"/>
        </w:rPr>
        <w:t xml:space="preserve">not accept opinion evidence that is connected to existing data only by the </w:t>
      </w:r>
      <w:r w:rsidRPr="006F2A4E">
        <w:rPr>
          <w:i/>
          <w:sz w:val="24"/>
        </w:rPr>
        <w:t xml:space="preserve">ipse dixit </w:t>
      </w:r>
      <w:r>
        <w:rPr>
          <w:sz w:val="24"/>
        </w:rPr>
        <w:t>of the expert</w:t>
      </w:r>
      <w:r w:rsidRPr="006F2A4E">
        <w:rPr>
          <w:spacing w:val="28"/>
          <w:sz w:val="24"/>
        </w:rPr>
        <w:t xml:space="preserve"> </w:t>
      </w:r>
      <w:r>
        <w:rPr>
          <w:sz w:val="24"/>
        </w:rPr>
        <w:t>(i.e.</w:t>
      </w:r>
      <w:r w:rsidRPr="006F2A4E">
        <w:rPr>
          <w:spacing w:val="28"/>
          <w:sz w:val="24"/>
        </w:rPr>
        <w:t xml:space="preserve"> </w:t>
      </w:r>
      <w:r>
        <w:rPr>
          <w:sz w:val="24"/>
        </w:rPr>
        <w:t>“because</w:t>
      </w:r>
      <w:r w:rsidRPr="006F2A4E">
        <w:rPr>
          <w:spacing w:val="30"/>
          <w:sz w:val="24"/>
        </w:rPr>
        <w:t xml:space="preserve"> </w:t>
      </w:r>
      <w:r>
        <w:rPr>
          <w:sz w:val="24"/>
        </w:rPr>
        <w:t>I</w:t>
      </w:r>
      <w:r w:rsidRPr="006F2A4E">
        <w:rPr>
          <w:spacing w:val="25"/>
          <w:sz w:val="24"/>
        </w:rPr>
        <w:t xml:space="preserve"> </w:t>
      </w:r>
      <w:r>
        <w:rPr>
          <w:sz w:val="24"/>
        </w:rPr>
        <w:t>said</w:t>
      </w:r>
      <w:r w:rsidRPr="006F2A4E">
        <w:rPr>
          <w:spacing w:val="29"/>
          <w:sz w:val="24"/>
        </w:rPr>
        <w:t xml:space="preserve"> </w:t>
      </w:r>
      <w:r>
        <w:rPr>
          <w:sz w:val="24"/>
        </w:rPr>
        <w:t>so”).</w:t>
      </w:r>
      <w:r w:rsidR="0089557D">
        <w:rPr>
          <w:rStyle w:val="FootnoteReference"/>
          <w:sz w:val="24"/>
        </w:rPr>
        <w:footnoteReference w:id="19"/>
      </w:r>
      <w:r w:rsidRPr="006F2A4E">
        <w:rPr>
          <w:spacing w:val="80"/>
          <w:w w:val="150"/>
          <w:sz w:val="24"/>
        </w:rPr>
        <w:t xml:space="preserve"> </w:t>
      </w:r>
      <w:r>
        <w:rPr>
          <w:sz w:val="24"/>
        </w:rPr>
        <w:t>“‘Fit’</w:t>
      </w:r>
      <w:r w:rsidRPr="006F2A4E">
        <w:rPr>
          <w:spacing w:val="28"/>
          <w:sz w:val="24"/>
        </w:rPr>
        <w:t xml:space="preserve"> </w:t>
      </w:r>
      <w:r>
        <w:rPr>
          <w:sz w:val="24"/>
        </w:rPr>
        <w:t>is</w:t>
      </w:r>
      <w:r w:rsidRPr="006F2A4E">
        <w:rPr>
          <w:spacing w:val="29"/>
          <w:sz w:val="24"/>
        </w:rPr>
        <w:t xml:space="preserve"> </w:t>
      </w:r>
      <w:r>
        <w:rPr>
          <w:sz w:val="24"/>
        </w:rPr>
        <w:t>not</w:t>
      </w:r>
      <w:r w:rsidRPr="006F2A4E">
        <w:rPr>
          <w:spacing w:val="29"/>
          <w:sz w:val="24"/>
        </w:rPr>
        <w:t xml:space="preserve"> </w:t>
      </w:r>
      <w:r>
        <w:rPr>
          <w:sz w:val="24"/>
        </w:rPr>
        <w:t>always</w:t>
      </w:r>
      <w:r w:rsidRPr="006F2A4E">
        <w:rPr>
          <w:spacing w:val="31"/>
          <w:sz w:val="24"/>
        </w:rPr>
        <w:t xml:space="preserve"> </w:t>
      </w:r>
      <w:r>
        <w:rPr>
          <w:sz w:val="24"/>
        </w:rPr>
        <w:t>obvious,</w:t>
      </w:r>
      <w:r w:rsidRPr="006F2A4E">
        <w:rPr>
          <w:spacing w:val="28"/>
          <w:sz w:val="24"/>
        </w:rPr>
        <w:t xml:space="preserve"> </w:t>
      </w:r>
      <w:r>
        <w:rPr>
          <w:sz w:val="24"/>
        </w:rPr>
        <w:t>and</w:t>
      </w:r>
      <w:r w:rsidRPr="006F2A4E">
        <w:rPr>
          <w:spacing w:val="28"/>
          <w:sz w:val="24"/>
        </w:rPr>
        <w:t xml:space="preserve"> </w:t>
      </w:r>
      <w:r>
        <w:rPr>
          <w:sz w:val="24"/>
        </w:rPr>
        <w:t>scientific</w:t>
      </w:r>
      <w:r w:rsidR="008C6E3D">
        <w:rPr>
          <w:sz w:val="24"/>
        </w:rPr>
        <w:t xml:space="preserve"> </w:t>
      </w:r>
      <w:r>
        <w:t xml:space="preserve">validity for one purpose is not necessarily scientific validity for other, unrelated </w:t>
      </w:r>
      <w:r w:rsidRPr="006F2A4E">
        <w:rPr>
          <w:spacing w:val="-2"/>
        </w:rPr>
        <w:t>purposes.”</w:t>
      </w:r>
      <w:r w:rsidR="008C6E3D">
        <w:rPr>
          <w:rStyle w:val="FootnoteReference"/>
          <w:spacing w:val="-2"/>
        </w:rPr>
        <w:footnoteReference w:id="20"/>
      </w:r>
    </w:p>
    <w:p w14:paraId="4EF74CAA" w14:textId="77777777" w:rsidR="00B519B1" w:rsidRDefault="00B519B1" w:rsidP="00F1457C">
      <w:pPr>
        <w:pStyle w:val="BodyText"/>
        <w:widowControl/>
      </w:pPr>
    </w:p>
    <w:p w14:paraId="0044EC3B" w14:textId="77777777" w:rsidR="00B519B1" w:rsidRDefault="00F1457C" w:rsidP="00F1457C">
      <w:pPr>
        <w:pStyle w:val="ListParagraph"/>
        <w:widowControl/>
        <w:numPr>
          <w:ilvl w:val="1"/>
          <w:numId w:val="2"/>
        </w:numPr>
        <w:tabs>
          <w:tab w:val="left" w:pos="2261"/>
        </w:tabs>
        <w:ind w:right="1024" w:firstLine="720"/>
        <w:rPr>
          <w:sz w:val="24"/>
        </w:rPr>
      </w:pPr>
      <w:r>
        <w:rPr>
          <w:b/>
          <w:i/>
          <w:sz w:val="24"/>
        </w:rPr>
        <w:lastRenderedPageBreak/>
        <w:t>Reliable Methodology:</w:t>
      </w:r>
      <w:r>
        <w:rPr>
          <w:b/>
          <w:i/>
          <w:spacing w:val="40"/>
          <w:sz w:val="24"/>
        </w:rPr>
        <w:t xml:space="preserve"> </w:t>
      </w:r>
      <w:r>
        <w:rPr>
          <w:i/>
          <w:sz w:val="24"/>
        </w:rPr>
        <w:t xml:space="preserve">Daubert </w:t>
      </w:r>
      <w:r>
        <w:rPr>
          <w:sz w:val="24"/>
        </w:rPr>
        <w:t xml:space="preserve">set forth the following </w:t>
      </w:r>
      <w:r>
        <w:rPr>
          <w:b/>
          <w:sz w:val="24"/>
        </w:rPr>
        <w:t xml:space="preserve">non- exclusive </w:t>
      </w:r>
      <w:r>
        <w:rPr>
          <w:sz w:val="24"/>
        </w:rPr>
        <w:t>factors, checklist or considerations for trial courts to use in assessing the reliability of scientific expert testimony:</w:t>
      </w:r>
      <w:r>
        <w:rPr>
          <w:spacing w:val="80"/>
          <w:sz w:val="24"/>
        </w:rPr>
        <w:t xml:space="preserve"> </w:t>
      </w:r>
      <w:r>
        <w:rPr>
          <w:sz w:val="24"/>
        </w:rPr>
        <w:t>(1) whether the expert’s technique or theory can be or has been tested --- that is, whether the expert’s theory can be challenged in some objective sense, or whether it is instead simply a subjective conclusory approach that cannot reasonably be assessed for reliability; (2) whether the technique or theory has been subject to peer review and publication;</w:t>
      </w:r>
    </w:p>
    <w:p w14:paraId="6F273812" w14:textId="77777777" w:rsidR="00B519B1" w:rsidRDefault="00F1457C" w:rsidP="00F1457C">
      <w:pPr>
        <w:pStyle w:val="BodyText"/>
        <w:widowControl/>
        <w:ind w:left="820"/>
        <w:jc w:val="both"/>
      </w:pPr>
      <w:r>
        <w:t>(3)</w:t>
      </w:r>
      <w:r>
        <w:rPr>
          <w:spacing w:val="5"/>
        </w:rPr>
        <w:t xml:space="preserve"> </w:t>
      </w:r>
      <w:r>
        <w:t>the</w:t>
      </w:r>
      <w:r>
        <w:rPr>
          <w:spacing w:val="6"/>
        </w:rPr>
        <w:t xml:space="preserve"> </w:t>
      </w:r>
      <w:r>
        <w:t>known</w:t>
      </w:r>
      <w:r>
        <w:rPr>
          <w:spacing w:val="6"/>
        </w:rPr>
        <w:t xml:space="preserve"> </w:t>
      </w:r>
      <w:r>
        <w:t>or</w:t>
      </w:r>
      <w:r>
        <w:rPr>
          <w:spacing w:val="6"/>
        </w:rPr>
        <w:t xml:space="preserve"> </w:t>
      </w:r>
      <w:r>
        <w:t>potential</w:t>
      </w:r>
      <w:r>
        <w:rPr>
          <w:spacing w:val="7"/>
        </w:rPr>
        <w:t xml:space="preserve"> </w:t>
      </w:r>
      <w:r>
        <w:t>rate</w:t>
      </w:r>
      <w:r>
        <w:rPr>
          <w:spacing w:val="6"/>
        </w:rPr>
        <w:t xml:space="preserve"> </w:t>
      </w:r>
      <w:r>
        <w:t>of</w:t>
      </w:r>
      <w:r>
        <w:rPr>
          <w:spacing w:val="8"/>
        </w:rPr>
        <w:t xml:space="preserve"> </w:t>
      </w:r>
      <w:r>
        <w:t>error</w:t>
      </w:r>
      <w:r>
        <w:rPr>
          <w:spacing w:val="6"/>
        </w:rPr>
        <w:t xml:space="preserve"> </w:t>
      </w:r>
      <w:r>
        <w:t>of</w:t>
      </w:r>
      <w:r>
        <w:rPr>
          <w:spacing w:val="6"/>
        </w:rPr>
        <w:t xml:space="preserve"> </w:t>
      </w:r>
      <w:r>
        <w:t>the</w:t>
      </w:r>
      <w:r>
        <w:rPr>
          <w:spacing w:val="9"/>
        </w:rPr>
        <w:t xml:space="preserve"> </w:t>
      </w:r>
      <w:r>
        <w:t>technique</w:t>
      </w:r>
      <w:r>
        <w:rPr>
          <w:spacing w:val="6"/>
        </w:rPr>
        <w:t xml:space="preserve"> </w:t>
      </w:r>
      <w:r>
        <w:t>or</w:t>
      </w:r>
      <w:r>
        <w:rPr>
          <w:spacing w:val="6"/>
        </w:rPr>
        <w:t xml:space="preserve"> </w:t>
      </w:r>
      <w:r>
        <w:t>theory</w:t>
      </w:r>
      <w:r>
        <w:rPr>
          <w:spacing w:val="2"/>
        </w:rPr>
        <w:t xml:space="preserve"> </w:t>
      </w:r>
      <w:r>
        <w:t>when</w:t>
      </w:r>
      <w:r>
        <w:rPr>
          <w:spacing w:val="9"/>
        </w:rPr>
        <w:t xml:space="preserve"> </w:t>
      </w:r>
      <w:proofErr w:type="gramStart"/>
      <w:r>
        <w:rPr>
          <w:spacing w:val="-2"/>
        </w:rPr>
        <w:t>applied;</w:t>
      </w:r>
      <w:proofErr w:type="gramEnd"/>
    </w:p>
    <w:p w14:paraId="4E9F03EC" w14:textId="3017AB72" w:rsidR="00B519B1" w:rsidRDefault="00F1457C" w:rsidP="00F1457C">
      <w:pPr>
        <w:pStyle w:val="BodyText"/>
        <w:widowControl/>
        <w:ind w:left="820" w:right="1022"/>
        <w:jc w:val="both"/>
      </w:pPr>
      <w:r>
        <w:t>(4) the existence and maintenance of standards and controls; and (5) whether the technique or theory has been generally accepted in the scientific community.</w:t>
      </w:r>
      <w:r w:rsidR="00D379D4">
        <w:rPr>
          <w:rStyle w:val="FootnoteReference"/>
        </w:rPr>
        <w:footnoteReference w:id="21"/>
      </w:r>
      <w:r>
        <w:t xml:space="preserve"> </w:t>
      </w:r>
      <w:r>
        <w:rPr>
          <w:i/>
        </w:rPr>
        <w:t xml:space="preserve">Daubert </w:t>
      </w:r>
      <w:r>
        <w:t xml:space="preserve">makes clear that the factors it mentions do </w:t>
      </w:r>
      <w:r>
        <w:rPr>
          <w:b/>
        </w:rPr>
        <w:t xml:space="preserve">not </w:t>
      </w:r>
      <w:r>
        <w:t>constitute a “definitive checklist or test.”</w:t>
      </w:r>
      <w:r w:rsidR="0000004B">
        <w:rPr>
          <w:rStyle w:val="FootnoteReference"/>
        </w:rPr>
        <w:footnoteReference w:id="22"/>
      </w:r>
      <w:r>
        <w:rPr>
          <w:spacing w:val="40"/>
        </w:rPr>
        <w:t xml:space="preserve"> </w:t>
      </w:r>
      <w:r>
        <w:t xml:space="preserve">The </w:t>
      </w:r>
      <w:r>
        <w:rPr>
          <w:i/>
        </w:rPr>
        <w:t xml:space="preserve">Daubert </w:t>
      </w:r>
      <w:r>
        <w:t>court emphasized that the “inquiry envisioned by Rule 702 is…a flexible one.”</w:t>
      </w:r>
      <w:r w:rsidR="0000004B">
        <w:rPr>
          <w:rStyle w:val="FootnoteReference"/>
        </w:rPr>
        <w:footnoteReference w:id="23"/>
      </w:r>
      <w:r>
        <w:rPr>
          <w:spacing w:val="40"/>
        </w:rPr>
        <w:t xml:space="preserve"> </w:t>
      </w:r>
      <w:r>
        <w:t>“It’s overarching subject is the scientific relevance and reliability-of the principles that underlie a proposed submission. The focus, of course, must be on principles and methodology, not on the conclusions that they generate.”</w:t>
      </w:r>
      <w:r w:rsidR="0000004B">
        <w:rPr>
          <w:rStyle w:val="FootnoteReference"/>
        </w:rPr>
        <w:footnoteReference w:id="24"/>
      </w:r>
      <w:r>
        <w:rPr>
          <w:spacing w:val="40"/>
        </w:rPr>
        <w:t xml:space="preserve"> </w:t>
      </w:r>
      <w:r>
        <w:t>The U.S. Supreme Court has concluded that “we can neither rule out, nor rule in, for all cases and for all time the</w:t>
      </w:r>
      <w:r>
        <w:rPr>
          <w:spacing w:val="80"/>
        </w:rPr>
        <w:t xml:space="preserve"> </w:t>
      </w:r>
      <w:r>
        <w:t xml:space="preserve">applicability of the factors mentioned in </w:t>
      </w:r>
      <w:r>
        <w:rPr>
          <w:i/>
        </w:rPr>
        <w:t>Daubert</w:t>
      </w:r>
      <w:r>
        <w:t>, nor can we now do so for subsets of cases categorized by category of expert or by kind of evidence.”</w:t>
      </w:r>
      <w:r w:rsidR="00022B9F">
        <w:rPr>
          <w:rStyle w:val="FootnoteReference"/>
        </w:rPr>
        <w:footnoteReference w:id="25"/>
      </w:r>
      <w:r>
        <w:t xml:space="preserve"> “[T]</w:t>
      </w:r>
      <w:proofErr w:type="spellStart"/>
      <w:r>
        <w:t>oo</w:t>
      </w:r>
      <w:proofErr w:type="spellEnd"/>
      <w:r>
        <w:t xml:space="preserve"> much depends upon the particular circumstances of the particular case at issue.”</w:t>
      </w:r>
      <w:r w:rsidR="00022B9F">
        <w:rPr>
          <w:rStyle w:val="FootnoteReference"/>
        </w:rPr>
        <w:footnoteReference w:id="26"/>
      </w:r>
      <w:r>
        <w:rPr>
          <w:spacing w:val="80"/>
        </w:rPr>
        <w:t xml:space="preserve"> </w:t>
      </w:r>
      <w:r>
        <w:t xml:space="preserve">In addition to the non-exclusive reliability factors set forth in </w:t>
      </w:r>
      <w:r>
        <w:rPr>
          <w:i/>
        </w:rPr>
        <w:t>Daubert</w:t>
      </w:r>
      <w:r>
        <w:t>,</w:t>
      </w:r>
      <w:r w:rsidR="00022B9F">
        <w:rPr>
          <w:rStyle w:val="FootnoteReference"/>
        </w:rPr>
        <w:footnoteReference w:id="27"/>
      </w:r>
      <w:r>
        <w:t xml:space="preserve"> the Federal Rules of Evidence Advisory Committee outlined and summarized Federal caselaw before and after </w:t>
      </w:r>
      <w:r>
        <w:rPr>
          <w:i/>
        </w:rPr>
        <w:t xml:space="preserve">Daubert, </w:t>
      </w:r>
      <w:r>
        <w:t>finding other non- exclusive factors relevant in determining</w:t>
      </w:r>
      <w:r>
        <w:rPr>
          <w:spacing w:val="-1"/>
        </w:rPr>
        <w:t xml:space="preserve"> </w:t>
      </w:r>
      <w:r>
        <w:t>whether expert testimony</w:t>
      </w:r>
      <w:r>
        <w:rPr>
          <w:spacing w:val="-6"/>
        </w:rPr>
        <w:t xml:space="preserve"> </w:t>
      </w:r>
      <w:r>
        <w:t>is sufficiently reliable to be considered by</w:t>
      </w:r>
      <w:r>
        <w:rPr>
          <w:spacing w:val="-3"/>
        </w:rPr>
        <w:t xml:space="preserve"> </w:t>
      </w:r>
      <w:r>
        <w:t>the trier of fact in the Notes to Fed. R. Evid. 702.</w:t>
      </w:r>
      <w:r>
        <w:rPr>
          <w:spacing w:val="40"/>
        </w:rPr>
        <w:t xml:space="preserve"> </w:t>
      </w:r>
      <w:r>
        <w:t xml:space="preserve">In addition, </w:t>
      </w:r>
      <w:r>
        <w:rPr>
          <w:i/>
        </w:rPr>
        <w:t>The</w:t>
      </w:r>
      <w:r>
        <w:rPr>
          <w:i/>
          <w:spacing w:val="-2"/>
        </w:rPr>
        <w:t xml:space="preserve"> </w:t>
      </w:r>
      <w:r>
        <w:rPr>
          <w:i/>
        </w:rPr>
        <w:t>Reference Manual</w:t>
      </w:r>
      <w:r>
        <w:rPr>
          <w:i/>
          <w:spacing w:val="-1"/>
        </w:rPr>
        <w:t xml:space="preserve"> </w:t>
      </w:r>
      <w:r>
        <w:rPr>
          <w:i/>
        </w:rPr>
        <w:t>on</w:t>
      </w:r>
      <w:r>
        <w:rPr>
          <w:i/>
          <w:spacing w:val="-1"/>
        </w:rPr>
        <w:t xml:space="preserve"> </w:t>
      </w:r>
      <w:r>
        <w:rPr>
          <w:i/>
        </w:rPr>
        <w:t>Scientific</w:t>
      </w:r>
      <w:r>
        <w:rPr>
          <w:i/>
          <w:spacing w:val="-1"/>
        </w:rPr>
        <w:t xml:space="preserve"> </w:t>
      </w:r>
      <w:r>
        <w:rPr>
          <w:i/>
        </w:rPr>
        <w:t>Evidence Third</w:t>
      </w:r>
      <w:r>
        <w:rPr>
          <w:i/>
          <w:spacing w:val="-1"/>
        </w:rPr>
        <w:t xml:space="preserve"> </w:t>
      </w:r>
      <w:r>
        <w:rPr>
          <w:i/>
        </w:rPr>
        <w:t>Edition</w:t>
      </w:r>
      <w:r w:rsidR="00B723D4">
        <w:rPr>
          <w:rStyle w:val="FootnoteReference"/>
          <w:i/>
        </w:rPr>
        <w:footnoteReference w:id="28"/>
      </w:r>
      <w:r>
        <w:rPr>
          <w:i/>
        </w:rPr>
        <w:t xml:space="preserve"> published in 2011 </w:t>
      </w:r>
      <w:r>
        <w:t>by The Federal Judicial Center can assist the parties in identifying disputed scientific areas or issues and facilitate the process of narrowing the issues concerning the basis of expert evidence, including additional possible reliability factors the Court may consider.</w:t>
      </w:r>
    </w:p>
    <w:p w14:paraId="456666DA" w14:textId="77777777" w:rsidR="00B519B1" w:rsidRDefault="00B519B1" w:rsidP="00F1457C">
      <w:pPr>
        <w:pStyle w:val="BodyText"/>
        <w:widowControl/>
        <w:rPr>
          <w:sz w:val="20"/>
        </w:rPr>
      </w:pPr>
    </w:p>
    <w:p w14:paraId="41E79542" w14:textId="013BA5FC" w:rsidR="00B519B1" w:rsidRDefault="00F1457C" w:rsidP="00F1457C">
      <w:pPr>
        <w:pStyle w:val="ListParagraph"/>
        <w:widowControl/>
        <w:numPr>
          <w:ilvl w:val="0"/>
          <w:numId w:val="2"/>
        </w:numPr>
        <w:tabs>
          <w:tab w:val="left" w:pos="1541"/>
        </w:tabs>
        <w:spacing w:before="72"/>
        <w:ind w:right="214" w:firstLine="719"/>
        <w:rPr>
          <w:sz w:val="24"/>
          <w:szCs w:val="24"/>
        </w:rPr>
      </w:pPr>
      <w:r w:rsidRPr="75DC4EEA">
        <w:rPr>
          <w:sz w:val="24"/>
          <w:szCs w:val="24"/>
        </w:rPr>
        <w:t xml:space="preserve">Once a timely, proper, facially sufficient, case-specific and expert-specific </w:t>
      </w:r>
      <w:r w:rsidRPr="75DC4EEA">
        <w:rPr>
          <w:i/>
          <w:iCs/>
          <w:sz w:val="24"/>
          <w:szCs w:val="24"/>
        </w:rPr>
        <w:t xml:space="preserve">Daubert </w:t>
      </w:r>
      <w:r w:rsidRPr="75DC4EEA">
        <w:rPr>
          <w:sz w:val="24"/>
          <w:szCs w:val="24"/>
        </w:rPr>
        <w:t xml:space="preserve">motion or motion related to other expert witness issues such as qualification(s) or opinion(s) has been filed and served on opposing counsel pursuant to the </w:t>
      </w:r>
      <w:r w:rsidR="0070136D" w:rsidRPr="75DC4EEA">
        <w:rPr>
          <w:i/>
          <w:iCs/>
          <w:sz w:val="24"/>
          <w:szCs w:val="24"/>
        </w:rPr>
        <w:t>Case Management Plan and Order</w:t>
      </w:r>
      <w:r w:rsidR="0070136D" w:rsidRPr="75DC4EEA">
        <w:rPr>
          <w:sz w:val="24"/>
          <w:szCs w:val="24"/>
        </w:rPr>
        <w:t xml:space="preserve"> and </w:t>
      </w:r>
      <w:r w:rsidR="0070136D" w:rsidRPr="75DC4EEA">
        <w:rPr>
          <w:i/>
          <w:iCs/>
          <w:sz w:val="24"/>
          <w:szCs w:val="24"/>
        </w:rPr>
        <w:t>Order Setting Case for Trial and Directing Pre-Trial Compliance prior to the Pre-Trial Conference</w:t>
      </w:r>
      <w:r w:rsidRPr="75DC4EEA">
        <w:rPr>
          <w:sz w:val="24"/>
          <w:szCs w:val="24"/>
        </w:rPr>
        <w:t>, counsel shall comply with the specific provisions of the “</w:t>
      </w:r>
      <w:r w:rsidR="00E070F0">
        <w:rPr>
          <w:sz w:val="24"/>
          <w:szCs w:val="24"/>
        </w:rPr>
        <w:t>Division L</w:t>
      </w:r>
      <w:r w:rsidRPr="75DC4EEA">
        <w:rPr>
          <w:sz w:val="24"/>
          <w:szCs w:val="24"/>
        </w:rPr>
        <w:t xml:space="preserve"> Civil Procedures</w:t>
      </w:r>
      <w:bookmarkStart w:id="0" w:name="_bookmark0"/>
      <w:bookmarkEnd w:id="0"/>
      <w:r w:rsidRPr="75DC4EEA">
        <w:rPr>
          <w:sz w:val="24"/>
          <w:szCs w:val="24"/>
        </w:rPr>
        <w:t>”</w:t>
      </w:r>
      <w:r w:rsidR="007F137C">
        <w:rPr>
          <w:rStyle w:val="FootnoteReference"/>
          <w:sz w:val="24"/>
          <w:szCs w:val="24"/>
        </w:rPr>
        <w:footnoteReference w:id="29"/>
      </w:r>
      <w:r w:rsidRPr="75DC4EEA">
        <w:rPr>
          <w:sz w:val="24"/>
          <w:szCs w:val="24"/>
        </w:rPr>
        <w:t xml:space="preserve"> related to this motion, including but not limited to, the “Meet and Confer Requirement” (Section III. </w:t>
      </w:r>
      <w:r w:rsidR="59FA86BA" w:rsidRPr="75DC4EEA">
        <w:rPr>
          <w:sz w:val="24"/>
          <w:szCs w:val="24"/>
        </w:rPr>
        <w:t>K</w:t>
      </w:r>
      <w:r w:rsidRPr="75DC4EEA">
        <w:rPr>
          <w:sz w:val="24"/>
          <w:szCs w:val="24"/>
        </w:rPr>
        <w:t>.).</w:t>
      </w:r>
      <w:r w:rsidRPr="75DC4EEA">
        <w:rPr>
          <w:spacing w:val="40"/>
          <w:sz w:val="24"/>
          <w:szCs w:val="24"/>
        </w:rPr>
        <w:t xml:space="preserve"> </w:t>
      </w:r>
      <w:r w:rsidRPr="75DC4EEA">
        <w:rPr>
          <w:sz w:val="24"/>
          <w:szCs w:val="24"/>
        </w:rPr>
        <w:t>Counsel shall meet and confer</w:t>
      </w:r>
      <w:r w:rsidRPr="75DC4EEA">
        <w:rPr>
          <w:spacing w:val="-1"/>
          <w:sz w:val="24"/>
          <w:szCs w:val="24"/>
        </w:rPr>
        <w:t xml:space="preserve"> </w:t>
      </w:r>
      <w:r w:rsidRPr="75DC4EEA">
        <w:rPr>
          <w:sz w:val="24"/>
          <w:szCs w:val="24"/>
        </w:rPr>
        <w:t xml:space="preserve">pursuant to said “Meet and </w:t>
      </w:r>
      <w:r w:rsidRPr="75DC4EEA">
        <w:rPr>
          <w:sz w:val="24"/>
          <w:szCs w:val="24"/>
        </w:rPr>
        <w:lastRenderedPageBreak/>
        <w:t xml:space="preserve">Confer Requirement” (Section III. </w:t>
      </w:r>
      <w:r w:rsidR="56AB3A51" w:rsidRPr="75DC4EEA">
        <w:rPr>
          <w:sz w:val="24"/>
          <w:szCs w:val="24"/>
        </w:rPr>
        <w:t>K</w:t>
      </w:r>
      <w:r w:rsidRPr="75DC4EEA">
        <w:rPr>
          <w:sz w:val="24"/>
          <w:szCs w:val="24"/>
        </w:rPr>
        <w:t>.) of the “</w:t>
      </w:r>
      <w:r w:rsidR="00E070F0">
        <w:rPr>
          <w:sz w:val="24"/>
          <w:szCs w:val="24"/>
        </w:rPr>
        <w:t>Division L</w:t>
      </w:r>
      <w:r w:rsidRPr="75DC4EEA">
        <w:rPr>
          <w:sz w:val="24"/>
          <w:szCs w:val="24"/>
        </w:rPr>
        <w:t xml:space="preserve"> Civil Procedures” to resolve any issues or objections to the admissibility of expert opinion testimony.</w:t>
      </w:r>
      <w:r w:rsidRPr="75DC4EEA">
        <w:rPr>
          <w:spacing w:val="40"/>
          <w:sz w:val="24"/>
          <w:szCs w:val="24"/>
        </w:rPr>
        <w:t xml:space="preserve"> </w:t>
      </w:r>
      <w:r w:rsidRPr="75DC4EEA">
        <w:rPr>
          <w:sz w:val="24"/>
          <w:szCs w:val="24"/>
        </w:rPr>
        <w:t>Pursuant to said “Meet and Confer Requirement” provisions a “Certificate of Compliance” (See Exhibit “A” to “</w:t>
      </w:r>
      <w:r w:rsidR="00E070F0">
        <w:rPr>
          <w:sz w:val="24"/>
          <w:szCs w:val="24"/>
        </w:rPr>
        <w:t>Division L</w:t>
      </w:r>
      <w:r w:rsidRPr="75DC4EEA">
        <w:rPr>
          <w:sz w:val="24"/>
          <w:szCs w:val="24"/>
        </w:rPr>
        <w:t xml:space="preserve"> Civil Procedures”) that the conference has occurred shall be included in the Notice of Hearing filed with the Court.</w:t>
      </w:r>
    </w:p>
    <w:p w14:paraId="6C55CC3B" w14:textId="77777777" w:rsidR="00B519B1" w:rsidRDefault="00B519B1" w:rsidP="00F1457C">
      <w:pPr>
        <w:pStyle w:val="BodyText"/>
        <w:widowControl/>
        <w:spacing w:before="1"/>
      </w:pPr>
    </w:p>
    <w:p w14:paraId="3288E9AC" w14:textId="601E6A01" w:rsidR="00B519B1" w:rsidRDefault="00F1457C" w:rsidP="00F1457C">
      <w:pPr>
        <w:pStyle w:val="ListParagraph"/>
        <w:widowControl/>
        <w:numPr>
          <w:ilvl w:val="0"/>
          <w:numId w:val="2"/>
        </w:numPr>
        <w:tabs>
          <w:tab w:val="left" w:pos="1541"/>
        </w:tabs>
        <w:ind w:right="220" w:firstLine="719"/>
        <w:rPr>
          <w:sz w:val="24"/>
        </w:rPr>
      </w:pPr>
      <w:r>
        <w:rPr>
          <w:sz w:val="24"/>
        </w:rPr>
        <w:t xml:space="preserve">If the expert witness matter is not resolved at the </w:t>
      </w:r>
      <w:proofErr w:type="gramStart"/>
      <w:r>
        <w:rPr>
          <w:sz w:val="24"/>
        </w:rPr>
        <w:t>meet</w:t>
      </w:r>
      <w:proofErr w:type="gramEnd"/>
      <w:r>
        <w:rPr>
          <w:sz w:val="24"/>
        </w:rPr>
        <w:t xml:space="preserve"> and confer, the attorneys for the parties shall discuss and provide the Court the following basic information:</w:t>
      </w:r>
      <w:r w:rsidR="00654A3E">
        <w:rPr>
          <w:rStyle w:val="FootnoteReference"/>
          <w:sz w:val="24"/>
        </w:rPr>
        <w:footnoteReference w:id="30"/>
      </w:r>
    </w:p>
    <w:p w14:paraId="25E02051" w14:textId="243B2512" w:rsidR="00B519B1" w:rsidRDefault="00F1457C" w:rsidP="00F1457C">
      <w:pPr>
        <w:pStyle w:val="ListParagraph"/>
        <w:widowControl/>
        <w:numPr>
          <w:ilvl w:val="0"/>
          <w:numId w:val="1"/>
        </w:numPr>
        <w:spacing w:before="90"/>
        <w:ind w:left="1800" w:hanging="540"/>
        <w:jc w:val="left"/>
        <w:rPr>
          <w:sz w:val="24"/>
        </w:rPr>
      </w:pPr>
      <w:r>
        <w:rPr>
          <w:sz w:val="24"/>
        </w:rPr>
        <w:t>a</w:t>
      </w:r>
      <w:r>
        <w:rPr>
          <w:spacing w:val="-2"/>
          <w:sz w:val="24"/>
        </w:rPr>
        <w:t xml:space="preserve"> </w:t>
      </w:r>
      <w:r>
        <w:rPr>
          <w:sz w:val="24"/>
        </w:rPr>
        <w:t>list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experts</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the</w:t>
      </w:r>
      <w:r>
        <w:rPr>
          <w:spacing w:val="-1"/>
          <w:sz w:val="24"/>
        </w:rPr>
        <w:t xml:space="preserve"> </w:t>
      </w:r>
      <w:r>
        <w:rPr>
          <w:sz w:val="24"/>
        </w:rPr>
        <w:t>subject of</w:t>
      </w:r>
      <w:r>
        <w:rPr>
          <w:spacing w:val="-1"/>
          <w:sz w:val="24"/>
        </w:rPr>
        <w:t xml:space="preserve"> </w:t>
      </w:r>
      <w:r>
        <w:rPr>
          <w:sz w:val="24"/>
        </w:rPr>
        <w:t xml:space="preserve">the </w:t>
      </w:r>
      <w:proofErr w:type="gramStart"/>
      <w:r>
        <w:rPr>
          <w:spacing w:val="-2"/>
          <w:sz w:val="24"/>
        </w:rPr>
        <w:t>hearing;</w:t>
      </w:r>
      <w:proofErr w:type="gramEnd"/>
    </w:p>
    <w:p w14:paraId="22447CC0" w14:textId="77777777" w:rsidR="00B519B1" w:rsidRDefault="00F1457C" w:rsidP="00F1457C">
      <w:pPr>
        <w:pStyle w:val="ListParagraph"/>
        <w:widowControl/>
        <w:numPr>
          <w:ilvl w:val="0"/>
          <w:numId w:val="1"/>
        </w:numPr>
        <w:ind w:left="1800" w:hanging="540"/>
        <w:jc w:val="left"/>
        <w:rPr>
          <w:sz w:val="24"/>
        </w:rPr>
      </w:pPr>
      <w:r>
        <w:rPr>
          <w:sz w:val="24"/>
        </w:rPr>
        <w:t>a</w:t>
      </w:r>
      <w:r>
        <w:rPr>
          <w:spacing w:val="-1"/>
          <w:sz w:val="24"/>
        </w:rPr>
        <w:t xml:space="preserve"> </w:t>
      </w:r>
      <w:r>
        <w:rPr>
          <w:sz w:val="24"/>
        </w:rPr>
        <w:t>copy</w:t>
      </w:r>
      <w:r>
        <w:rPr>
          <w:spacing w:val="-5"/>
          <w:sz w:val="24"/>
        </w:rPr>
        <w:t xml:space="preserve"> </w:t>
      </w:r>
      <w:r>
        <w:rPr>
          <w:sz w:val="24"/>
        </w:rPr>
        <w:t>of the</w:t>
      </w:r>
      <w:r>
        <w:rPr>
          <w:spacing w:val="-2"/>
          <w:sz w:val="24"/>
        </w:rPr>
        <w:t xml:space="preserve"> </w:t>
      </w:r>
      <w:r>
        <w:rPr>
          <w:sz w:val="24"/>
        </w:rPr>
        <w:t>detailed resume or</w:t>
      </w:r>
      <w:r>
        <w:rPr>
          <w:spacing w:val="-1"/>
          <w:sz w:val="24"/>
        </w:rPr>
        <w:t xml:space="preserve"> </w:t>
      </w:r>
      <w:r>
        <w:rPr>
          <w:sz w:val="24"/>
        </w:rPr>
        <w:t>CV</w:t>
      </w:r>
      <w:r>
        <w:rPr>
          <w:spacing w:val="1"/>
          <w:sz w:val="24"/>
        </w:rPr>
        <w:t xml:space="preserve"> </w:t>
      </w:r>
      <w:r>
        <w:rPr>
          <w:sz w:val="24"/>
        </w:rPr>
        <w:t xml:space="preserve">of each expert </w:t>
      </w:r>
      <w:proofErr w:type="gramStart"/>
      <w:r>
        <w:rPr>
          <w:spacing w:val="-2"/>
          <w:sz w:val="24"/>
        </w:rPr>
        <w:t>witness;</w:t>
      </w:r>
      <w:proofErr w:type="gramEnd"/>
    </w:p>
    <w:p w14:paraId="38728381" w14:textId="2827573C" w:rsidR="00B519B1" w:rsidRDefault="00F1457C" w:rsidP="00F1457C">
      <w:pPr>
        <w:pStyle w:val="ListParagraph"/>
        <w:widowControl/>
        <w:numPr>
          <w:ilvl w:val="0"/>
          <w:numId w:val="1"/>
        </w:numPr>
        <w:ind w:left="1800" w:hanging="540"/>
        <w:jc w:val="left"/>
        <w:rPr>
          <w:sz w:val="24"/>
        </w:rPr>
      </w:pPr>
      <w:r>
        <w:rPr>
          <w:sz w:val="24"/>
        </w:rPr>
        <w:t>the</w:t>
      </w:r>
      <w:r>
        <w:rPr>
          <w:spacing w:val="18"/>
          <w:sz w:val="24"/>
        </w:rPr>
        <w:t xml:space="preserve"> </w:t>
      </w:r>
      <w:r>
        <w:rPr>
          <w:sz w:val="24"/>
        </w:rPr>
        <w:t>specific</w:t>
      </w:r>
      <w:r>
        <w:rPr>
          <w:spacing w:val="19"/>
          <w:sz w:val="24"/>
        </w:rPr>
        <w:t xml:space="preserve"> </w:t>
      </w:r>
      <w:r>
        <w:rPr>
          <w:sz w:val="24"/>
        </w:rPr>
        <w:t>subject</w:t>
      </w:r>
      <w:r>
        <w:rPr>
          <w:spacing w:val="21"/>
          <w:sz w:val="24"/>
        </w:rPr>
        <w:t xml:space="preserve"> </w:t>
      </w:r>
      <w:r>
        <w:rPr>
          <w:sz w:val="24"/>
        </w:rPr>
        <w:t>matter</w:t>
      </w:r>
      <w:r>
        <w:rPr>
          <w:spacing w:val="19"/>
          <w:sz w:val="24"/>
        </w:rPr>
        <w:t xml:space="preserve"> </w:t>
      </w:r>
      <w:r>
        <w:rPr>
          <w:sz w:val="24"/>
        </w:rPr>
        <w:t>about</w:t>
      </w:r>
      <w:r>
        <w:rPr>
          <w:spacing w:val="20"/>
          <w:sz w:val="24"/>
        </w:rPr>
        <w:t xml:space="preserve"> </w:t>
      </w:r>
      <w:r>
        <w:rPr>
          <w:sz w:val="24"/>
        </w:rPr>
        <w:t>which</w:t>
      </w:r>
      <w:r>
        <w:rPr>
          <w:spacing w:val="19"/>
          <w:sz w:val="24"/>
        </w:rPr>
        <w:t xml:space="preserve"> </w:t>
      </w:r>
      <w:r>
        <w:rPr>
          <w:sz w:val="24"/>
        </w:rPr>
        <w:t>the</w:t>
      </w:r>
      <w:r>
        <w:rPr>
          <w:spacing w:val="22"/>
          <w:sz w:val="24"/>
        </w:rPr>
        <w:t xml:space="preserve"> </w:t>
      </w:r>
      <w:r>
        <w:rPr>
          <w:sz w:val="24"/>
        </w:rPr>
        <w:t>witness</w:t>
      </w:r>
      <w:r>
        <w:rPr>
          <w:spacing w:val="19"/>
          <w:sz w:val="24"/>
        </w:rPr>
        <w:t xml:space="preserve"> </w:t>
      </w:r>
      <w:r>
        <w:rPr>
          <w:sz w:val="24"/>
        </w:rPr>
        <w:t>is</w:t>
      </w:r>
      <w:r>
        <w:rPr>
          <w:spacing w:val="21"/>
          <w:sz w:val="24"/>
        </w:rPr>
        <w:t xml:space="preserve"> </w:t>
      </w:r>
      <w:r>
        <w:rPr>
          <w:sz w:val="24"/>
        </w:rPr>
        <w:t>expected</w:t>
      </w:r>
      <w:r>
        <w:rPr>
          <w:spacing w:val="19"/>
          <w:sz w:val="24"/>
        </w:rPr>
        <w:t xml:space="preserve"> </w:t>
      </w:r>
      <w:r>
        <w:rPr>
          <w:spacing w:val="-5"/>
          <w:sz w:val="24"/>
        </w:rPr>
        <w:t>to</w:t>
      </w:r>
      <w:r w:rsidR="005B6A7D" w:rsidRPr="005B6A7D">
        <w:rPr>
          <w:spacing w:val="-2"/>
        </w:rPr>
        <w:t xml:space="preserve"> </w:t>
      </w:r>
      <w:proofErr w:type="gramStart"/>
      <w:r w:rsidR="005B6A7D">
        <w:rPr>
          <w:spacing w:val="-2"/>
        </w:rPr>
        <w:t>testify;</w:t>
      </w:r>
      <w:proofErr w:type="gramEnd"/>
    </w:p>
    <w:p w14:paraId="540D75ED" w14:textId="77777777" w:rsidR="00B519B1" w:rsidRDefault="00F1457C" w:rsidP="00F1457C">
      <w:pPr>
        <w:pStyle w:val="ListParagraph"/>
        <w:widowControl/>
        <w:numPr>
          <w:ilvl w:val="0"/>
          <w:numId w:val="1"/>
        </w:numPr>
        <w:ind w:left="1800" w:hanging="540"/>
        <w:jc w:val="left"/>
        <w:rPr>
          <w:sz w:val="24"/>
        </w:rPr>
      </w:pPr>
      <w:r>
        <w:rPr>
          <w:sz w:val="24"/>
        </w:rPr>
        <w:t>each</w:t>
      </w:r>
      <w:r>
        <w:rPr>
          <w:spacing w:val="12"/>
          <w:sz w:val="24"/>
        </w:rPr>
        <w:t xml:space="preserve"> </w:t>
      </w:r>
      <w:r>
        <w:rPr>
          <w:sz w:val="24"/>
        </w:rPr>
        <w:t>opinion</w:t>
      </w:r>
      <w:r>
        <w:rPr>
          <w:spacing w:val="11"/>
          <w:sz w:val="24"/>
        </w:rPr>
        <w:t xml:space="preserve"> </w:t>
      </w:r>
      <w:r>
        <w:rPr>
          <w:sz w:val="24"/>
        </w:rPr>
        <w:t>the</w:t>
      </w:r>
      <w:r>
        <w:rPr>
          <w:spacing w:val="11"/>
          <w:sz w:val="24"/>
        </w:rPr>
        <w:t xml:space="preserve"> </w:t>
      </w:r>
      <w:r>
        <w:rPr>
          <w:sz w:val="24"/>
        </w:rPr>
        <w:t>expert</w:t>
      </w:r>
      <w:r>
        <w:rPr>
          <w:spacing w:val="10"/>
          <w:sz w:val="24"/>
        </w:rPr>
        <w:t xml:space="preserve"> </w:t>
      </w:r>
      <w:r>
        <w:rPr>
          <w:sz w:val="24"/>
        </w:rPr>
        <w:t>is</w:t>
      </w:r>
      <w:r>
        <w:rPr>
          <w:spacing w:val="12"/>
          <w:sz w:val="24"/>
        </w:rPr>
        <w:t xml:space="preserve"> </w:t>
      </w:r>
      <w:r>
        <w:rPr>
          <w:sz w:val="24"/>
        </w:rPr>
        <w:t>expected</w:t>
      </w:r>
      <w:r>
        <w:rPr>
          <w:spacing w:val="11"/>
          <w:sz w:val="24"/>
        </w:rPr>
        <w:t xml:space="preserve"> </w:t>
      </w:r>
      <w:r>
        <w:rPr>
          <w:sz w:val="24"/>
        </w:rPr>
        <w:t>to</w:t>
      </w:r>
      <w:r>
        <w:rPr>
          <w:spacing w:val="12"/>
          <w:sz w:val="24"/>
        </w:rPr>
        <w:t xml:space="preserve"> </w:t>
      </w:r>
      <w:r>
        <w:rPr>
          <w:sz w:val="24"/>
        </w:rPr>
        <w:t>provide</w:t>
      </w:r>
      <w:r>
        <w:rPr>
          <w:spacing w:val="9"/>
          <w:sz w:val="24"/>
        </w:rPr>
        <w:t xml:space="preserve"> </w:t>
      </w:r>
      <w:r>
        <w:rPr>
          <w:sz w:val="24"/>
        </w:rPr>
        <w:t>at</w:t>
      </w:r>
      <w:r>
        <w:rPr>
          <w:spacing w:val="16"/>
          <w:sz w:val="24"/>
        </w:rPr>
        <w:t xml:space="preserve"> </w:t>
      </w:r>
      <w:r>
        <w:rPr>
          <w:sz w:val="24"/>
        </w:rPr>
        <w:t>trial</w:t>
      </w:r>
      <w:r>
        <w:rPr>
          <w:spacing w:val="11"/>
          <w:sz w:val="24"/>
        </w:rPr>
        <w:t xml:space="preserve"> </w:t>
      </w:r>
      <w:r>
        <w:rPr>
          <w:sz w:val="24"/>
        </w:rPr>
        <w:t>about</w:t>
      </w:r>
      <w:r>
        <w:rPr>
          <w:spacing w:val="12"/>
          <w:sz w:val="24"/>
        </w:rPr>
        <w:t xml:space="preserve"> </w:t>
      </w:r>
      <w:r>
        <w:rPr>
          <w:spacing w:val="-2"/>
          <w:sz w:val="24"/>
        </w:rPr>
        <w:t>which</w:t>
      </w:r>
    </w:p>
    <w:p w14:paraId="653A0F8F" w14:textId="77777777" w:rsidR="00B519B1" w:rsidRDefault="00F1457C" w:rsidP="00F1457C">
      <w:pPr>
        <w:pStyle w:val="BodyText"/>
        <w:widowControl/>
        <w:ind w:left="1800"/>
        <w:jc w:val="both"/>
      </w:pPr>
      <w:proofErr w:type="gramStart"/>
      <w:r>
        <w:t>there</w:t>
      </w:r>
      <w:proofErr w:type="gramEnd"/>
      <w:r>
        <w:rPr>
          <w:spacing w:val="-2"/>
        </w:rPr>
        <w:t xml:space="preserve"> </w:t>
      </w:r>
      <w:r>
        <w:t>is</w:t>
      </w:r>
      <w:r>
        <w:rPr>
          <w:spacing w:val="-1"/>
        </w:rPr>
        <w:t xml:space="preserve"> </w:t>
      </w:r>
      <w:r>
        <w:t>a challenge</w:t>
      </w:r>
      <w:r>
        <w:rPr>
          <w:spacing w:val="-2"/>
        </w:rPr>
        <w:t xml:space="preserve"> </w:t>
      </w:r>
      <w:r>
        <w:t>and</w:t>
      </w:r>
      <w:r>
        <w:rPr>
          <w:spacing w:val="-1"/>
        </w:rPr>
        <w:t xml:space="preserve"> </w:t>
      </w:r>
      <w:r>
        <w:t>for</w:t>
      </w:r>
      <w:r>
        <w:rPr>
          <w:spacing w:val="-1"/>
        </w:rPr>
        <w:t xml:space="preserve"> </w:t>
      </w:r>
      <w:r>
        <w:t>which a</w:t>
      </w:r>
      <w:r>
        <w:rPr>
          <w:spacing w:val="-2"/>
        </w:rPr>
        <w:t xml:space="preserve"> </w:t>
      </w:r>
      <w:r>
        <w:t>ruling</w:t>
      </w:r>
      <w:r>
        <w:rPr>
          <w:spacing w:val="-3"/>
        </w:rPr>
        <w:t xml:space="preserve"> </w:t>
      </w:r>
      <w:r>
        <w:t>is</w:t>
      </w:r>
      <w:r>
        <w:rPr>
          <w:spacing w:val="-1"/>
        </w:rPr>
        <w:t xml:space="preserve"> </w:t>
      </w:r>
      <w:r>
        <w:t>requested from</w:t>
      </w:r>
      <w:r>
        <w:rPr>
          <w:spacing w:val="-1"/>
        </w:rPr>
        <w:t xml:space="preserve"> </w:t>
      </w:r>
      <w:r>
        <w:t>this</w:t>
      </w:r>
      <w:r>
        <w:rPr>
          <w:spacing w:val="-1"/>
        </w:rPr>
        <w:t xml:space="preserve"> </w:t>
      </w:r>
      <w:proofErr w:type="gramStart"/>
      <w:r>
        <w:rPr>
          <w:spacing w:val="-2"/>
        </w:rPr>
        <w:t>Court;</w:t>
      </w:r>
      <w:proofErr w:type="gramEnd"/>
    </w:p>
    <w:p w14:paraId="7F73E0D9" w14:textId="77777777" w:rsidR="00B519B1" w:rsidRDefault="00F1457C" w:rsidP="00F1457C">
      <w:pPr>
        <w:pStyle w:val="ListParagraph"/>
        <w:widowControl/>
        <w:numPr>
          <w:ilvl w:val="0"/>
          <w:numId w:val="1"/>
        </w:numPr>
        <w:tabs>
          <w:tab w:val="left" w:pos="2261"/>
        </w:tabs>
        <w:ind w:left="1800" w:right="938" w:hanging="540"/>
        <w:jc w:val="both"/>
        <w:rPr>
          <w:sz w:val="24"/>
        </w:rPr>
      </w:pPr>
      <w:r>
        <w:rPr>
          <w:sz w:val="24"/>
        </w:rPr>
        <w:t xml:space="preserve">the basis of each challenged opinion including the facts and data relied upon or that is </w:t>
      </w:r>
      <w:proofErr w:type="gramStart"/>
      <w:r>
        <w:rPr>
          <w:sz w:val="24"/>
        </w:rPr>
        <w:t>absent;</w:t>
      </w:r>
      <w:proofErr w:type="gramEnd"/>
    </w:p>
    <w:p w14:paraId="1B85E75C" w14:textId="77777777" w:rsidR="00B519B1" w:rsidRDefault="00F1457C" w:rsidP="00F1457C">
      <w:pPr>
        <w:pStyle w:val="ListParagraph"/>
        <w:widowControl/>
        <w:numPr>
          <w:ilvl w:val="0"/>
          <w:numId w:val="1"/>
        </w:numPr>
        <w:tabs>
          <w:tab w:val="left" w:pos="2261"/>
        </w:tabs>
        <w:spacing w:before="1"/>
        <w:ind w:left="1800" w:right="943" w:hanging="540"/>
        <w:jc w:val="both"/>
        <w:rPr>
          <w:sz w:val="24"/>
        </w:rPr>
      </w:pPr>
      <w:r>
        <w:rPr>
          <w:sz w:val="24"/>
        </w:rPr>
        <w:t xml:space="preserve">the principles and methodology used, or not utilized, to arrive at those challenged </w:t>
      </w:r>
      <w:proofErr w:type="gramStart"/>
      <w:r>
        <w:rPr>
          <w:sz w:val="24"/>
        </w:rPr>
        <w:t>opinions;</w:t>
      </w:r>
      <w:proofErr w:type="gramEnd"/>
    </w:p>
    <w:p w14:paraId="7B097814" w14:textId="77777777" w:rsidR="00B519B1" w:rsidRDefault="00F1457C" w:rsidP="00F1457C">
      <w:pPr>
        <w:pStyle w:val="ListParagraph"/>
        <w:widowControl/>
        <w:numPr>
          <w:ilvl w:val="0"/>
          <w:numId w:val="1"/>
        </w:numPr>
        <w:tabs>
          <w:tab w:val="left" w:pos="2261"/>
        </w:tabs>
        <w:ind w:left="1800" w:hanging="540"/>
        <w:jc w:val="both"/>
        <w:rPr>
          <w:sz w:val="24"/>
        </w:rPr>
      </w:pPr>
      <w:r>
        <w:rPr>
          <w:sz w:val="24"/>
        </w:rPr>
        <w:t>the</w:t>
      </w:r>
      <w:r>
        <w:rPr>
          <w:spacing w:val="-2"/>
          <w:sz w:val="24"/>
        </w:rPr>
        <w:t xml:space="preserve"> </w:t>
      </w:r>
      <w:r>
        <w:rPr>
          <w:sz w:val="24"/>
        </w:rPr>
        <w:t>peer review</w:t>
      </w:r>
      <w:r>
        <w:rPr>
          <w:spacing w:val="-2"/>
          <w:sz w:val="24"/>
        </w:rPr>
        <w:t xml:space="preserve"> </w:t>
      </w:r>
      <w:r>
        <w:rPr>
          <w:sz w:val="24"/>
        </w:rPr>
        <w:t>to</w:t>
      </w:r>
      <w:r>
        <w:rPr>
          <w:spacing w:val="-1"/>
          <w:sz w:val="24"/>
        </w:rPr>
        <w:t xml:space="preserve"> </w:t>
      </w:r>
      <w:r>
        <w:rPr>
          <w:sz w:val="24"/>
        </w:rPr>
        <w:t>which</w:t>
      </w:r>
      <w:r>
        <w:rPr>
          <w:spacing w:val="1"/>
          <w:sz w:val="24"/>
        </w:rPr>
        <w:t xml:space="preserve"> </w:t>
      </w:r>
      <w:r>
        <w:rPr>
          <w:sz w:val="24"/>
        </w:rPr>
        <w:t>these</w:t>
      </w:r>
      <w:r>
        <w:rPr>
          <w:spacing w:val="-3"/>
          <w:sz w:val="24"/>
        </w:rPr>
        <w:t xml:space="preserve"> </w:t>
      </w:r>
      <w:r>
        <w:rPr>
          <w:sz w:val="24"/>
        </w:rPr>
        <w:t>methods</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subjected;</w:t>
      </w:r>
      <w:r>
        <w:rPr>
          <w:spacing w:val="-1"/>
          <w:sz w:val="24"/>
        </w:rPr>
        <w:t xml:space="preserve"> </w:t>
      </w:r>
      <w:r>
        <w:rPr>
          <w:spacing w:val="-5"/>
          <w:sz w:val="24"/>
        </w:rPr>
        <w:t>and</w:t>
      </w:r>
    </w:p>
    <w:p w14:paraId="3550984B" w14:textId="69523CE2" w:rsidR="00B519B1" w:rsidRDefault="00F1457C" w:rsidP="00F1457C">
      <w:pPr>
        <w:pStyle w:val="ListParagraph"/>
        <w:widowControl/>
        <w:numPr>
          <w:ilvl w:val="0"/>
          <w:numId w:val="1"/>
        </w:numPr>
        <w:tabs>
          <w:tab w:val="left" w:pos="2261"/>
        </w:tabs>
        <w:ind w:left="1800" w:right="938" w:hanging="540"/>
        <w:jc w:val="both"/>
        <w:rPr>
          <w:sz w:val="24"/>
          <w:szCs w:val="24"/>
        </w:rPr>
      </w:pPr>
      <w:r w:rsidRPr="636E9ED4">
        <w:rPr>
          <w:sz w:val="24"/>
          <w:szCs w:val="24"/>
        </w:rPr>
        <w:t xml:space="preserve">a </w:t>
      </w:r>
      <w:r w:rsidRPr="636E9ED4">
        <w:rPr>
          <w:sz w:val="24"/>
          <w:szCs w:val="24"/>
          <w:u w:val="single"/>
        </w:rPr>
        <w:t xml:space="preserve">good faith </w:t>
      </w:r>
      <w:proofErr w:type="gramStart"/>
      <w:r w:rsidRPr="636E9ED4">
        <w:rPr>
          <w:sz w:val="24"/>
          <w:szCs w:val="24"/>
          <w:u w:val="single"/>
        </w:rPr>
        <w:t>estimate</w:t>
      </w:r>
      <w:proofErr w:type="gramEnd"/>
      <w:r w:rsidRPr="636E9ED4">
        <w:rPr>
          <w:sz w:val="24"/>
          <w:szCs w:val="24"/>
        </w:rPr>
        <w:t xml:space="preserve"> b</w:t>
      </w:r>
      <w:r w:rsidR="0315183B" w:rsidRPr="636E9ED4">
        <w:rPr>
          <w:sz w:val="24"/>
          <w:szCs w:val="24"/>
        </w:rPr>
        <w:t>y</w:t>
      </w:r>
      <w:r w:rsidRPr="636E9ED4">
        <w:rPr>
          <w:sz w:val="24"/>
          <w:szCs w:val="24"/>
        </w:rPr>
        <w:t xml:space="preserve"> each party of the time each will need for their</w:t>
      </w:r>
      <w:r w:rsidRPr="636E9ED4">
        <w:rPr>
          <w:spacing w:val="-1"/>
          <w:sz w:val="24"/>
          <w:szCs w:val="24"/>
        </w:rPr>
        <w:t xml:space="preserve"> </w:t>
      </w:r>
      <w:r w:rsidRPr="636E9ED4">
        <w:rPr>
          <w:sz w:val="24"/>
          <w:szCs w:val="24"/>
        </w:rPr>
        <w:t>presentation as well as an estimate</w:t>
      </w:r>
      <w:r w:rsidRPr="636E9ED4">
        <w:rPr>
          <w:spacing w:val="-1"/>
          <w:sz w:val="24"/>
          <w:szCs w:val="24"/>
        </w:rPr>
        <w:t xml:space="preserve"> </w:t>
      </w:r>
      <w:r w:rsidRPr="636E9ED4">
        <w:rPr>
          <w:sz w:val="24"/>
          <w:szCs w:val="24"/>
        </w:rPr>
        <w:t>of</w:t>
      </w:r>
      <w:r w:rsidRPr="636E9ED4">
        <w:rPr>
          <w:spacing w:val="-1"/>
          <w:sz w:val="24"/>
          <w:szCs w:val="24"/>
        </w:rPr>
        <w:t xml:space="preserve"> </w:t>
      </w:r>
      <w:r w:rsidRPr="636E9ED4">
        <w:rPr>
          <w:sz w:val="24"/>
          <w:szCs w:val="24"/>
        </w:rPr>
        <w:t>the total amount of time</w:t>
      </w:r>
      <w:r w:rsidRPr="636E9ED4">
        <w:rPr>
          <w:spacing w:val="-1"/>
          <w:sz w:val="24"/>
          <w:szCs w:val="24"/>
        </w:rPr>
        <w:t xml:space="preserve"> </w:t>
      </w:r>
      <w:r w:rsidRPr="636E9ED4">
        <w:rPr>
          <w:sz w:val="24"/>
          <w:szCs w:val="24"/>
        </w:rPr>
        <w:t>needed for</w:t>
      </w:r>
      <w:r w:rsidRPr="636E9ED4">
        <w:rPr>
          <w:spacing w:val="-2"/>
          <w:sz w:val="24"/>
          <w:szCs w:val="24"/>
        </w:rPr>
        <w:t xml:space="preserve"> </w:t>
      </w:r>
      <w:r w:rsidRPr="636E9ED4">
        <w:rPr>
          <w:sz w:val="24"/>
          <w:szCs w:val="24"/>
        </w:rPr>
        <w:t>the entire hearing.</w:t>
      </w:r>
      <w:r w:rsidRPr="636E9ED4">
        <w:rPr>
          <w:spacing w:val="40"/>
          <w:sz w:val="24"/>
          <w:szCs w:val="24"/>
        </w:rPr>
        <w:t xml:space="preserve"> </w:t>
      </w:r>
      <w:r w:rsidRPr="636E9ED4">
        <w:rPr>
          <w:sz w:val="24"/>
          <w:szCs w:val="24"/>
        </w:rPr>
        <w:t>(Counsel are reminded that hearing time is limited and estimates should be as accurate as possible.)</w:t>
      </w:r>
    </w:p>
    <w:p w14:paraId="6FEF46FE" w14:textId="77777777" w:rsidR="00B519B1" w:rsidRDefault="00B519B1" w:rsidP="00F1457C">
      <w:pPr>
        <w:pStyle w:val="BodyText"/>
        <w:widowControl/>
      </w:pPr>
    </w:p>
    <w:p w14:paraId="49835EA2" w14:textId="77777777" w:rsidR="00B519B1" w:rsidRDefault="00F1457C" w:rsidP="00F1457C">
      <w:pPr>
        <w:pStyle w:val="ListParagraph"/>
        <w:widowControl/>
        <w:numPr>
          <w:ilvl w:val="0"/>
          <w:numId w:val="2"/>
        </w:numPr>
        <w:tabs>
          <w:tab w:val="left" w:pos="1541"/>
        </w:tabs>
        <w:ind w:right="215" w:firstLine="719"/>
        <w:rPr>
          <w:sz w:val="24"/>
        </w:rPr>
      </w:pPr>
      <w:r>
        <w:rPr>
          <w:sz w:val="24"/>
        </w:rPr>
        <w:t xml:space="preserve">Each party shall provide the opposing counsel and the </w:t>
      </w:r>
      <w:proofErr w:type="gramStart"/>
      <w:r>
        <w:rPr>
          <w:sz w:val="24"/>
        </w:rPr>
        <w:t>Court</w:t>
      </w:r>
      <w:proofErr w:type="gramEnd"/>
      <w:r>
        <w:rPr>
          <w:sz w:val="24"/>
        </w:rPr>
        <w:t xml:space="preserve"> a list of any</w:t>
      </w:r>
      <w:r>
        <w:rPr>
          <w:spacing w:val="40"/>
          <w:sz w:val="24"/>
        </w:rPr>
        <w:t xml:space="preserve"> </w:t>
      </w:r>
      <w:r>
        <w:rPr>
          <w:sz w:val="24"/>
        </w:rPr>
        <w:t xml:space="preserve">witnesses expected to be called at the </w:t>
      </w:r>
      <w:r>
        <w:rPr>
          <w:i/>
          <w:sz w:val="24"/>
        </w:rPr>
        <w:t xml:space="preserve">Daubert </w:t>
      </w:r>
      <w:r>
        <w:rPr>
          <w:sz w:val="24"/>
        </w:rPr>
        <w:t>hearing, including the challenged expert, and a short</w:t>
      </w:r>
      <w:r>
        <w:rPr>
          <w:spacing w:val="-2"/>
          <w:sz w:val="24"/>
        </w:rPr>
        <w:t xml:space="preserve"> </w:t>
      </w:r>
      <w:r>
        <w:rPr>
          <w:sz w:val="24"/>
        </w:rPr>
        <w:t>summary</w:t>
      </w:r>
      <w:r>
        <w:rPr>
          <w:spacing w:val="-7"/>
          <w:sz w:val="24"/>
        </w:rPr>
        <w:t xml:space="preserve"> </w:t>
      </w:r>
      <w:r>
        <w:rPr>
          <w:sz w:val="24"/>
        </w:rPr>
        <w:t>of</w:t>
      </w:r>
      <w:r>
        <w:rPr>
          <w:spacing w:val="-2"/>
          <w:sz w:val="24"/>
        </w:rPr>
        <w:t xml:space="preserve"> </w:t>
      </w:r>
      <w:r>
        <w:rPr>
          <w:sz w:val="24"/>
        </w:rPr>
        <w:t>their</w:t>
      </w:r>
      <w:r>
        <w:rPr>
          <w:spacing w:val="-1"/>
          <w:sz w:val="24"/>
        </w:rPr>
        <w:t xml:space="preserve"> </w:t>
      </w:r>
      <w:r>
        <w:rPr>
          <w:sz w:val="24"/>
        </w:rPr>
        <w:t>expected</w:t>
      </w:r>
      <w:r>
        <w:rPr>
          <w:spacing w:val="-2"/>
          <w:sz w:val="24"/>
        </w:rPr>
        <w:t xml:space="preserve"> </w:t>
      </w:r>
      <w:r>
        <w:rPr>
          <w:sz w:val="24"/>
        </w:rPr>
        <w:t>testimony</w:t>
      </w:r>
      <w:r>
        <w:rPr>
          <w:spacing w:val="-7"/>
          <w:sz w:val="24"/>
        </w:rPr>
        <w:t xml:space="preserve"> </w:t>
      </w:r>
      <w:r>
        <w:rPr>
          <w:sz w:val="24"/>
        </w:rPr>
        <w:t>and</w:t>
      </w:r>
      <w:r>
        <w:rPr>
          <w:spacing w:val="-2"/>
          <w:sz w:val="24"/>
        </w:rPr>
        <w:t xml:space="preserve"> </w:t>
      </w:r>
      <w:r>
        <w:rPr>
          <w:sz w:val="24"/>
        </w:rPr>
        <w:t>relevance</w:t>
      </w:r>
      <w:r>
        <w:rPr>
          <w:spacing w:val="-3"/>
          <w:sz w:val="24"/>
        </w:rPr>
        <w:t xml:space="preserve"> </w:t>
      </w:r>
      <w:r>
        <w:rPr>
          <w:sz w:val="24"/>
        </w:rPr>
        <w:t>to</w:t>
      </w:r>
      <w:r>
        <w:rPr>
          <w:spacing w:val="-2"/>
          <w:sz w:val="24"/>
        </w:rPr>
        <w:t xml:space="preserve"> </w:t>
      </w:r>
      <w:r>
        <w:rPr>
          <w:sz w:val="24"/>
        </w:rPr>
        <w:t>the expert</w:t>
      </w:r>
      <w:r>
        <w:rPr>
          <w:spacing w:val="-2"/>
          <w:sz w:val="24"/>
        </w:rPr>
        <w:t xml:space="preserve"> </w:t>
      </w:r>
      <w:r>
        <w:rPr>
          <w:sz w:val="24"/>
        </w:rPr>
        <w:t>witness</w:t>
      </w:r>
      <w:r>
        <w:rPr>
          <w:spacing w:val="-2"/>
          <w:sz w:val="24"/>
        </w:rPr>
        <w:t xml:space="preserve"> </w:t>
      </w:r>
      <w:r>
        <w:rPr>
          <w:sz w:val="24"/>
        </w:rPr>
        <w:t>issue(s)</w:t>
      </w:r>
      <w:r>
        <w:rPr>
          <w:spacing w:val="-4"/>
          <w:sz w:val="24"/>
        </w:rPr>
        <w:t xml:space="preserve"> </w:t>
      </w:r>
      <w:r>
        <w:rPr>
          <w:sz w:val="24"/>
        </w:rPr>
        <w:t>before</w:t>
      </w:r>
      <w:r>
        <w:rPr>
          <w:spacing w:val="-3"/>
          <w:sz w:val="24"/>
        </w:rPr>
        <w:t xml:space="preserve"> </w:t>
      </w:r>
      <w:r>
        <w:rPr>
          <w:sz w:val="24"/>
        </w:rPr>
        <w:t xml:space="preserve">the </w:t>
      </w:r>
      <w:r>
        <w:rPr>
          <w:spacing w:val="-2"/>
          <w:sz w:val="24"/>
        </w:rPr>
        <w:t>Court.</w:t>
      </w:r>
    </w:p>
    <w:p w14:paraId="4FD2371B" w14:textId="77777777" w:rsidR="00B519B1" w:rsidRDefault="00B519B1" w:rsidP="00F1457C">
      <w:pPr>
        <w:pStyle w:val="BodyText"/>
        <w:widowControl/>
      </w:pPr>
    </w:p>
    <w:p w14:paraId="4E98E0DF" w14:textId="1619FB33" w:rsidR="00B519B1" w:rsidRDefault="00F1457C" w:rsidP="00F1457C">
      <w:pPr>
        <w:pStyle w:val="ListParagraph"/>
        <w:widowControl/>
        <w:numPr>
          <w:ilvl w:val="0"/>
          <w:numId w:val="2"/>
        </w:numPr>
        <w:tabs>
          <w:tab w:val="left" w:pos="1540"/>
          <w:tab w:val="left" w:pos="1541"/>
        </w:tabs>
        <w:ind w:right="216" w:firstLine="719"/>
        <w:rPr>
          <w:sz w:val="24"/>
          <w:szCs w:val="24"/>
        </w:rPr>
      </w:pPr>
      <w:r w:rsidRPr="75DC4EEA">
        <w:rPr>
          <w:sz w:val="24"/>
          <w:szCs w:val="24"/>
        </w:rPr>
        <w:t>Counsel shall comply with the governing provisions of the “</w:t>
      </w:r>
      <w:r w:rsidR="00E070F0">
        <w:rPr>
          <w:sz w:val="24"/>
          <w:szCs w:val="24"/>
        </w:rPr>
        <w:t>Division L</w:t>
      </w:r>
      <w:r w:rsidRPr="75DC4EEA">
        <w:rPr>
          <w:sz w:val="24"/>
          <w:szCs w:val="24"/>
        </w:rPr>
        <w:t xml:space="preserve"> Civil Procedures”</w:t>
      </w:r>
      <w:r w:rsidR="00521576">
        <w:rPr>
          <w:rStyle w:val="FootnoteReference"/>
          <w:sz w:val="24"/>
          <w:szCs w:val="24"/>
        </w:rPr>
        <w:footnoteReference w:id="31"/>
      </w:r>
      <w:r w:rsidRPr="75DC4EEA">
        <w:rPr>
          <w:spacing w:val="40"/>
          <w:sz w:val="24"/>
          <w:szCs w:val="24"/>
        </w:rPr>
        <w:t xml:space="preserve"> </w:t>
      </w:r>
      <w:r w:rsidRPr="75DC4EEA">
        <w:rPr>
          <w:sz w:val="24"/>
          <w:szCs w:val="24"/>
        </w:rPr>
        <w:t>related</w:t>
      </w:r>
      <w:r w:rsidRPr="75DC4EEA">
        <w:rPr>
          <w:spacing w:val="40"/>
          <w:sz w:val="24"/>
          <w:szCs w:val="24"/>
        </w:rPr>
        <w:t xml:space="preserve"> </w:t>
      </w:r>
      <w:r w:rsidRPr="75DC4EEA">
        <w:rPr>
          <w:sz w:val="24"/>
          <w:szCs w:val="24"/>
        </w:rPr>
        <w:t>to</w:t>
      </w:r>
      <w:r w:rsidRPr="75DC4EEA">
        <w:rPr>
          <w:spacing w:val="40"/>
          <w:sz w:val="24"/>
          <w:szCs w:val="24"/>
        </w:rPr>
        <w:t xml:space="preserve"> </w:t>
      </w:r>
      <w:r w:rsidRPr="75DC4EEA">
        <w:rPr>
          <w:sz w:val="24"/>
          <w:szCs w:val="24"/>
        </w:rPr>
        <w:t>scheduling</w:t>
      </w:r>
      <w:r w:rsidRPr="75DC4EEA">
        <w:rPr>
          <w:spacing w:val="40"/>
          <w:sz w:val="24"/>
          <w:szCs w:val="24"/>
        </w:rPr>
        <w:t xml:space="preserve"> </w:t>
      </w:r>
      <w:r w:rsidRPr="75DC4EEA">
        <w:rPr>
          <w:sz w:val="24"/>
          <w:szCs w:val="24"/>
        </w:rPr>
        <w:t>hearing</w:t>
      </w:r>
      <w:r w:rsidRPr="75DC4EEA">
        <w:rPr>
          <w:spacing w:val="40"/>
          <w:sz w:val="24"/>
          <w:szCs w:val="24"/>
        </w:rPr>
        <w:t xml:space="preserve"> </w:t>
      </w:r>
      <w:r w:rsidRPr="75DC4EEA">
        <w:rPr>
          <w:sz w:val="24"/>
          <w:szCs w:val="24"/>
        </w:rPr>
        <w:t>time(s)</w:t>
      </w:r>
      <w:r w:rsidRPr="75DC4EEA">
        <w:rPr>
          <w:spacing w:val="40"/>
          <w:sz w:val="24"/>
          <w:szCs w:val="24"/>
        </w:rPr>
        <w:t xml:space="preserve"> </w:t>
      </w:r>
      <w:r w:rsidRPr="75DC4EEA">
        <w:rPr>
          <w:sz w:val="24"/>
          <w:szCs w:val="24"/>
        </w:rPr>
        <w:t>for</w:t>
      </w:r>
      <w:r w:rsidRPr="75DC4EEA">
        <w:rPr>
          <w:spacing w:val="40"/>
          <w:sz w:val="24"/>
          <w:szCs w:val="24"/>
        </w:rPr>
        <w:t xml:space="preserve"> </w:t>
      </w:r>
      <w:r w:rsidRPr="75DC4EEA">
        <w:rPr>
          <w:sz w:val="24"/>
          <w:szCs w:val="24"/>
        </w:rPr>
        <w:t>the</w:t>
      </w:r>
      <w:r w:rsidRPr="75DC4EEA">
        <w:rPr>
          <w:spacing w:val="40"/>
          <w:sz w:val="24"/>
          <w:szCs w:val="24"/>
        </w:rPr>
        <w:t xml:space="preserve"> </w:t>
      </w:r>
      <w:r w:rsidRPr="75DC4EEA">
        <w:rPr>
          <w:i/>
          <w:iCs/>
          <w:sz w:val="24"/>
          <w:szCs w:val="24"/>
        </w:rPr>
        <w:t>Daubert</w:t>
      </w:r>
      <w:r w:rsidRPr="75DC4EEA">
        <w:rPr>
          <w:i/>
          <w:iCs/>
          <w:spacing w:val="40"/>
          <w:sz w:val="24"/>
          <w:szCs w:val="24"/>
        </w:rPr>
        <w:t xml:space="preserve"> </w:t>
      </w:r>
      <w:r w:rsidRPr="75DC4EEA">
        <w:rPr>
          <w:sz w:val="24"/>
          <w:szCs w:val="24"/>
        </w:rPr>
        <w:t>motion(s)</w:t>
      </w:r>
      <w:r w:rsidRPr="75DC4EEA">
        <w:rPr>
          <w:spacing w:val="40"/>
          <w:sz w:val="24"/>
          <w:szCs w:val="24"/>
        </w:rPr>
        <w:t xml:space="preserve"> </w:t>
      </w:r>
      <w:r w:rsidRPr="75DC4EEA">
        <w:rPr>
          <w:sz w:val="24"/>
          <w:szCs w:val="24"/>
        </w:rPr>
        <w:t>or</w:t>
      </w:r>
      <w:r w:rsidRPr="75DC4EEA">
        <w:rPr>
          <w:spacing w:val="40"/>
          <w:sz w:val="24"/>
          <w:szCs w:val="24"/>
        </w:rPr>
        <w:t xml:space="preserve"> </w:t>
      </w:r>
      <w:r w:rsidRPr="75DC4EEA">
        <w:rPr>
          <w:sz w:val="24"/>
          <w:szCs w:val="24"/>
        </w:rPr>
        <w:t>motion(s) related to other expert witness issues, including but not limited to, Sections III</w:t>
      </w:r>
      <w:r w:rsidR="00045EA6">
        <w:rPr>
          <w:sz w:val="24"/>
          <w:szCs w:val="24"/>
        </w:rPr>
        <w:t>, IV</w:t>
      </w:r>
      <w:r w:rsidRPr="75DC4EEA">
        <w:rPr>
          <w:sz w:val="24"/>
          <w:szCs w:val="24"/>
        </w:rPr>
        <w:t xml:space="preserve"> and V.</w:t>
      </w:r>
    </w:p>
    <w:p w14:paraId="0E64BAE3" w14:textId="77777777" w:rsidR="00B519B1" w:rsidRDefault="00B519B1" w:rsidP="00F1457C">
      <w:pPr>
        <w:pStyle w:val="BodyText"/>
        <w:widowControl/>
        <w:rPr>
          <w:sz w:val="20"/>
        </w:rPr>
      </w:pPr>
    </w:p>
    <w:p w14:paraId="5688CE4A" w14:textId="77777777" w:rsidR="00B519B1" w:rsidRDefault="00F1457C" w:rsidP="00F1457C">
      <w:pPr>
        <w:pStyle w:val="ListParagraph"/>
        <w:widowControl/>
        <w:numPr>
          <w:ilvl w:val="0"/>
          <w:numId w:val="2"/>
        </w:numPr>
        <w:tabs>
          <w:tab w:val="left" w:pos="1541"/>
        </w:tabs>
        <w:spacing w:before="72"/>
        <w:ind w:right="224" w:firstLine="719"/>
        <w:rPr>
          <w:sz w:val="24"/>
        </w:rPr>
      </w:pPr>
      <w:r>
        <w:rPr>
          <w:sz w:val="24"/>
        </w:rPr>
        <w:t>If a court reporter is to be obtained by either party, the party obtaining the court reporter should notify opposing counsel and the Court that she/he is obtaining a court reporter.</w:t>
      </w:r>
    </w:p>
    <w:p w14:paraId="595EDB07" w14:textId="77777777" w:rsidR="00B519B1" w:rsidRDefault="00B519B1" w:rsidP="00F1457C">
      <w:pPr>
        <w:pStyle w:val="BodyText"/>
        <w:widowControl/>
      </w:pPr>
    </w:p>
    <w:p w14:paraId="270575D5" w14:textId="46A0073B" w:rsidR="00B519B1" w:rsidRDefault="00F1457C" w:rsidP="00F1457C">
      <w:pPr>
        <w:pStyle w:val="ListParagraph"/>
        <w:widowControl/>
        <w:numPr>
          <w:ilvl w:val="0"/>
          <w:numId w:val="2"/>
        </w:numPr>
        <w:tabs>
          <w:tab w:val="left" w:pos="1540"/>
          <w:tab w:val="left" w:pos="1541"/>
        </w:tabs>
        <w:ind w:right="103" w:firstLine="719"/>
        <w:rPr>
          <w:sz w:val="24"/>
          <w:szCs w:val="24"/>
        </w:rPr>
      </w:pPr>
      <w:r w:rsidRPr="75DC4EEA">
        <w:rPr>
          <w:sz w:val="24"/>
          <w:szCs w:val="24"/>
        </w:rPr>
        <w:t>Counsel</w:t>
      </w:r>
      <w:r w:rsidRPr="75DC4EEA">
        <w:rPr>
          <w:spacing w:val="78"/>
          <w:sz w:val="24"/>
          <w:szCs w:val="24"/>
        </w:rPr>
        <w:t xml:space="preserve"> </w:t>
      </w:r>
      <w:r w:rsidRPr="75DC4EEA">
        <w:rPr>
          <w:sz w:val="24"/>
          <w:szCs w:val="24"/>
        </w:rPr>
        <w:t>shall</w:t>
      </w:r>
      <w:r w:rsidRPr="75DC4EEA">
        <w:rPr>
          <w:spacing w:val="78"/>
          <w:sz w:val="24"/>
          <w:szCs w:val="24"/>
        </w:rPr>
        <w:t xml:space="preserve"> </w:t>
      </w:r>
      <w:r w:rsidRPr="75DC4EEA">
        <w:rPr>
          <w:sz w:val="24"/>
          <w:szCs w:val="24"/>
        </w:rPr>
        <w:t>comply</w:t>
      </w:r>
      <w:r w:rsidRPr="75DC4EEA">
        <w:rPr>
          <w:spacing w:val="75"/>
          <w:sz w:val="24"/>
          <w:szCs w:val="24"/>
        </w:rPr>
        <w:t xml:space="preserve"> </w:t>
      </w:r>
      <w:r w:rsidRPr="75DC4EEA">
        <w:rPr>
          <w:sz w:val="24"/>
          <w:szCs w:val="24"/>
        </w:rPr>
        <w:t>with</w:t>
      </w:r>
      <w:r w:rsidRPr="75DC4EEA">
        <w:rPr>
          <w:spacing w:val="78"/>
          <w:sz w:val="24"/>
          <w:szCs w:val="24"/>
        </w:rPr>
        <w:t xml:space="preserve"> </w:t>
      </w:r>
      <w:r w:rsidRPr="75DC4EEA">
        <w:rPr>
          <w:sz w:val="24"/>
          <w:szCs w:val="24"/>
        </w:rPr>
        <w:t>the</w:t>
      </w:r>
      <w:r w:rsidRPr="75DC4EEA">
        <w:rPr>
          <w:spacing w:val="77"/>
          <w:sz w:val="24"/>
          <w:szCs w:val="24"/>
        </w:rPr>
        <w:t xml:space="preserve"> </w:t>
      </w:r>
      <w:r w:rsidRPr="75DC4EEA">
        <w:rPr>
          <w:sz w:val="24"/>
          <w:szCs w:val="24"/>
        </w:rPr>
        <w:t>provisions</w:t>
      </w:r>
      <w:r w:rsidRPr="75DC4EEA">
        <w:rPr>
          <w:spacing w:val="78"/>
          <w:sz w:val="24"/>
          <w:szCs w:val="24"/>
        </w:rPr>
        <w:t xml:space="preserve"> </w:t>
      </w:r>
      <w:r w:rsidRPr="75DC4EEA">
        <w:rPr>
          <w:sz w:val="24"/>
          <w:szCs w:val="24"/>
        </w:rPr>
        <w:t>of</w:t>
      </w:r>
      <w:r w:rsidRPr="75DC4EEA">
        <w:rPr>
          <w:spacing w:val="79"/>
          <w:sz w:val="24"/>
          <w:szCs w:val="24"/>
        </w:rPr>
        <w:t xml:space="preserve"> </w:t>
      </w:r>
      <w:r w:rsidRPr="75DC4EEA">
        <w:rPr>
          <w:sz w:val="24"/>
          <w:szCs w:val="24"/>
        </w:rPr>
        <w:t>Sections</w:t>
      </w:r>
      <w:r w:rsidRPr="75DC4EEA">
        <w:rPr>
          <w:spacing w:val="80"/>
          <w:sz w:val="24"/>
          <w:szCs w:val="24"/>
        </w:rPr>
        <w:t xml:space="preserve"> </w:t>
      </w:r>
      <w:r w:rsidRPr="75DC4EEA">
        <w:rPr>
          <w:sz w:val="24"/>
          <w:szCs w:val="24"/>
        </w:rPr>
        <w:t>III</w:t>
      </w:r>
      <w:r w:rsidRPr="75DC4EEA">
        <w:rPr>
          <w:spacing w:val="76"/>
          <w:sz w:val="24"/>
          <w:szCs w:val="24"/>
        </w:rPr>
        <w:t xml:space="preserve"> </w:t>
      </w:r>
      <w:r w:rsidR="51379EB9" w:rsidRPr="75DC4EEA">
        <w:rPr>
          <w:spacing w:val="76"/>
          <w:sz w:val="24"/>
          <w:szCs w:val="24"/>
        </w:rPr>
        <w:t>G</w:t>
      </w:r>
      <w:r w:rsidRPr="75DC4EEA">
        <w:rPr>
          <w:sz w:val="24"/>
          <w:szCs w:val="24"/>
        </w:rPr>
        <w:t>.</w:t>
      </w:r>
      <w:r w:rsidRPr="75DC4EEA">
        <w:rPr>
          <w:spacing w:val="77"/>
          <w:sz w:val="24"/>
          <w:szCs w:val="24"/>
        </w:rPr>
        <w:t xml:space="preserve"> </w:t>
      </w:r>
      <w:r w:rsidRPr="75DC4EEA">
        <w:rPr>
          <w:sz w:val="24"/>
          <w:szCs w:val="24"/>
        </w:rPr>
        <w:t>and</w:t>
      </w:r>
      <w:r w:rsidRPr="75DC4EEA">
        <w:rPr>
          <w:spacing w:val="80"/>
          <w:sz w:val="24"/>
          <w:szCs w:val="24"/>
        </w:rPr>
        <w:t xml:space="preserve"> </w:t>
      </w:r>
      <w:r w:rsidR="46394E5B" w:rsidRPr="75DC4EEA">
        <w:rPr>
          <w:spacing w:val="80"/>
          <w:sz w:val="24"/>
          <w:szCs w:val="24"/>
        </w:rPr>
        <w:t>H</w:t>
      </w:r>
      <w:r w:rsidRPr="75DC4EEA">
        <w:rPr>
          <w:sz w:val="24"/>
          <w:szCs w:val="24"/>
        </w:rPr>
        <w:t>.</w:t>
      </w:r>
      <w:r w:rsidRPr="75DC4EEA">
        <w:rPr>
          <w:spacing w:val="79"/>
          <w:sz w:val="24"/>
          <w:szCs w:val="24"/>
        </w:rPr>
        <w:t xml:space="preserve"> </w:t>
      </w:r>
      <w:r w:rsidRPr="75DC4EEA">
        <w:rPr>
          <w:sz w:val="24"/>
          <w:szCs w:val="24"/>
        </w:rPr>
        <w:t>of</w:t>
      </w:r>
      <w:r w:rsidRPr="75DC4EEA">
        <w:rPr>
          <w:spacing w:val="77"/>
          <w:sz w:val="24"/>
          <w:szCs w:val="24"/>
        </w:rPr>
        <w:t xml:space="preserve"> </w:t>
      </w:r>
      <w:r w:rsidRPr="75DC4EEA">
        <w:rPr>
          <w:sz w:val="24"/>
          <w:szCs w:val="24"/>
        </w:rPr>
        <w:t>the “</w:t>
      </w:r>
      <w:r w:rsidR="00E070F0">
        <w:rPr>
          <w:sz w:val="24"/>
          <w:szCs w:val="24"/>
        </w:rPr>
        <w:t>Division L</w:t>
      </w:r>
      <w:r w:rsidRPr="75DC4EEA">
        <w:rPr>
          <w:spacing w:val="-2"/>
          <w:sz w:val="24"/>
          <w:szCs w:val="24"/>
        </w:rPr>
        <w:t xml:space="preserve"> </w:t>
      </w:r>
      <w:r w:rsidRPr="75DC4EEA">
        <w:rPr>
          <w:sz w:val="24"/>
          <w:szCs w:val="24"/>
        </w:rPr>
        <w:t>Civil</w:t>
      </w:r>
      <w:r w:rsidRPr="75DC4EEA">
        <w:rPr>
          <w:spacing w:val="-2"/>
          <w:sz w:val="24"/>
          <w:szCs w:val="24"/>
        </w:rPr>
        <w:t xml:space="preserve"> </w:t>
      </w:r>
      <w:r w:rsidRPr="75DC4EEA">
        <w:rPr>
          <w:sz w:val="24"/>
          <w:szCs w:val="24"/>
        </w:rPr>
        <w:t>Procedures”</w:t>
      </w:r>
      <w:r w:rsidR="000C2D94">
        <w:rPr>
          <w:rStyle w:val="FootnoteReference"/>
          <w:sz w:val="24"/>
          <w:szCs w:val="24"/>
        </w:rPr>
        <w:footnoteReference w:id="32"/>
      </w:r>
      <w:r w:rsidRPr="75DC4EEA">
        <w:rPr>
          <w:spacing w:val="-1"/>
          <w:sz w:val="24"/>
          <w:szCs w:val="24"/>
        </w:rPr>
        <w:t xml:space="preserve"> </w:t>
      </w:r>
      <w:r w:rsidRPr="75DC4EEA">
        <w:rPr>
          <w:sz w:val="24"/>
          <w:szCs w:val="24"/>
        </w:rPr>
        <w:t>related</w:t>
      </w:r>
      <w:r w:rsidRPr="75DC4EEA">
        <w:rPr>
          <w:spacing w:val="-2"/>
          <w:sz w:val="24"/>
          <w:szCs w:val="24"/>
        </w:rPr>
        <w:t xml:space="preserve"> </w:t>
      </w:r>
      <w:r w:rsidRPr="75DC4EEA">
        <w:rPr>
          <w:sz w:val="24"/>
          <w:szCs w:val="24"/>
        </w:rPr>
        <w:t>to</w:t>
      </w:r>
      <w:r w:rsidRPr="75DC4EEA">
        <w:rPr>
          <w:spacing w:val="-2"/>
          <w:sz w:val="24"/>
          <w:szCs w:val="24"/>
        </w:rPr>
        <w:t xml:space="preserve"> </w:t>
      </w:r>
      <w:r w:rsidRPr="75DC4EEA">
        <w:rPr>
          <w:sz w:val="24"/>
          <w:szCs w:val="24"/>
        </w:rPr>
        <w:t>providing</w:t>
      </w:r>
      <w:r w:rsidRPr="75DC4EEA">
        <w:rPr>
          <w:spacing w:val="-2"/>
          <w:sz w:val="24"/>
          <w:szCs w:val="24"/>
        </w:rPr>
        <w:t xml:space="preserve"> </w:t>
      </w:r>
      <w:r w:rsidRPr="75DC4EEA">
        <w:rPr>
          <w:sz w:val="24"/>
          <w:szCs w:val="24"/>
        </w:rPr>
        <w:t>the</w:t>
      </w:r>
      <w:r w:rsidRPr="75DC4EEA">
        <w:rPr>
          <w:spacing w:val="-2"/>
          <w:sz w:val="24"/>
          <w:szCs w:val="24"/>
        </w:rPr>
        <w:t xml:space="preserve"> </w:t>
      </w:r>
      <w:r w:rsidRPr="75DC4EEA">
        <w:rPr>
          <w:sz w:val="24"/>
          <w:szCs w:val="24"/>
        </w:rPr>
        <w:t>Court</w:t>
      </w:r>
      <w:r w:rsidRPr="75DC4EEA">
        <w:rPr>
          <w:spacing w:val="-2"/>
          <w:sz w:val="24"/>
          <w:szCs w:val="24"/>
        </w:rPr>
        <w:t xml:space="preserve"> </w:t>
      </w:r>
      <w:r w:rsidRPr="75DC4EEA">
        <w:rPr>
          <w:sz w:val="24"/>
          <w:szCs w:val="24"/>
        </w:rPr>
        <w:t>courtesy</w:t>
      </w:r>
      <w:r w:rsidRPr="75DC4EEA">
        <w:rPr>
          <w:spacing w:val="-2"/>
          <w:sz w:val="24"/>
          <w:szCs w:val="24"/>
        </w:rPr>
        <w:t xml:space="preserve"> </w:t>
      </w:r>
      <w:r w:rsidRPr="75DC4EEA">
        <w:rPr>
          <w:sz w:val="24"/>
          <w:szCs w:val="24"/>
        </w:rPr>
        <w:t>copies</w:t>
      </w:r>
      <w:r w:rsidRPr="75DC4EEA">
        <w:rPr>
          <w:spacing w:val="-2"/>
          <w:sz w:val="24"/>
          <w:szCs w:val="24"/>
        </w:rPr>
        <w:t xml:space="preserve"> </w:t>
      </w:r>
      <w:r w:rsidRPr="75DC4EEA">
        <w:rPr>
          <w:sz w:val="24"/>
          <w:szCs w:val="24"/>
        </w:rPr>
        <w:t>(hard</w:t>
      </w:r>
      <w:r w:rsidRPr="75DC4EEA">
        <w:rPr>
          <w:spacing w:val="-2"/>
          <w:sz w:val="24"/>
          <w:szCs w:val="24"/>
        </w:rPr>
        <w:t xml:space="preserve"> </w:t>
      </w:r>
      <w:r w:rsidRPr="75DC4EEA">
        <w:rPr>
          <w:sz w:val="24"/>
          <w:szCs w:val="24"/>
        </w:rPr>
        <w:t>copies)</w:t>
      </w:r>
      <w:r w:rsidRPr="75DC4EEA">
        <w:rPr>
          <w:spacing w:val="-2"/>
          <w:sz w:val="24"/>
          <w:szCs w:val="24"/>
        </w:rPr>
        <w:t xml:space="preserve"> </w:t>
      </w:r>
      <w:r w:rsidRPr="75DC4EEA">
        <w:rPr>
          <w:sz w:val="24"/>
          <w:szCs w:val="24"/>
        </w:rPr>
        <w:t>of</w:t>
      </w:r>
      <w:r w:rsidRPr="75DC4EEA">
        <w:rPr>
          <w:spacing w:val="21"/>
          <w:sz w:val="24"/>
          <w:szCs w:val="24"/>
        </w:rPr>
        <w:t xml:space="preserve"> </w:t>
      </w:r>
      <w:r w:rsidRPr="75DC4EEA">
        <w:rPr>
          <w:sz w:val="24"/>
          <w:szCs w:val="24"/>
        </w:rPr>
        <w:t>all Court</w:t>
      </w:r>
      <w:r w:rsidRPr="75DC4EEA">
        <w:rPr>
          <w:spacing w:val="32"/>
          <w:sz w:val="24"/>
          <w:szCs w:val="24"/>
        </w:rPr>
        <w:t xml:space="preserve"> </w:t>
      </w:r>
      <w:r w:rsidRPr="75DC4EEA">
        <w:rPr>
          <w:sz w:val="24"/>
          <w:szCs w:val="24"/>
        </w:rPr>
        <w:t>filings</w:t>
      </w:r>
      <w:r w:rsidRPr="75DC4EEA">
        <w:rPr>
          <w:spacing w:val="32"/>
          <w:sz w:val="24"/>
          <w:szCs w:val="24"/>
        </w:rPr>
        <w:t xml:space="preserve"> </w:t>
      </w:r>
      <w:r w:rsidRPr="75DC4EEA">
        <w:rPr>
          <w:sz w:val="24"/>
          <w:szCs w:val="24"/>
        </w:rPr>
        <w:t>pertaining</w:t>
      </w:r>
      <w:r w:rsidRPr="75DC4EEA">
        <w:rPr>
          <w:spacing w:val="32"/>
          <w:sz w:val="24"/>
          <w:szCs w:val="24"/>
        </w:rPr>
        <w:t xml:space="preserve"> </w:t>
      </w:r>
      <w:r w:rsidRPr="75DC4EEA">
        <w:rPr>
          <w:sz w:val="24"/>
          <w:szCs w:val="24"/>
        </w:rPr>
        <w:t>to</w:t>
      </w:r>
      <w:r w:rsidRPr="75DC4EEA">
        <w:rPr>
          <w:spacing w:val="32"/>
          <w:sz w:val="24"/>
          <w:szCs w:val="24"/>
        </w:rPr>
        <w:t xml:space="preserve"> </w:t>
      </w:r>
      <w:r w:rsidRPr="75DC4EEA">
        <w:rPr>
          <w:sz w:val="24"/>
          <w:szCs w:val="24"/>
        </w:rPr>
        <w:t>the</w:t>
      </w:r>
      <w:r w:rsidRPr="75DC4EEA">
        <w:rPr>
          <w:spacing w:val="32"/>
          <w:sz w:val="24"/>
          <w:szCs w:val="24"/>
        </w:rPr>
        <w:t xml:space="preserve"> </w:t>
      </w:r>
      <w:r w:rsidRPr="75DC4EEA">
        <w:rPr>
          <w:sz w:val="24"/>
          <w:szCs w:val="24"/>
        </w:rPr>
        <w:t>motion,</w:t>
      </w:r>
      <w:r w:rsidRPr="75DC4EEA">
        <w:rPr>
          <w:spacing w:val="32"/>
          <w:sz w:val="24"/>
          <w:szCs w:val="24"/>
        </w:rPr>
        <w:t xml:space="preserve"> </w:t>
      </w:r>
      <w:r w:rsidRPr="75DC4EEA">
        <w:rPr>
          <w:sz w:val="24"/>
          <w:szCs w:val="24"/>
        </w:rPr>
        <w:t>hearing</w:t>
      </w:r>
      <w:r w:rsidRPr="75DC4EEA">
        <w:rPr>
          <w:spacing w:val="32"/>
          <w:sz w:val="24"/>
          <w:szCs w:val="24"/>
        </w:rPr>
        <w:t xml:space="preserve"> </w:t>
      </w:r>
      <w:r w:rsidRPr="75DC4EEA">
        <w:rPr>
          <w:sz w:val="24"/>
          <w:szCs w:val="24"/>
        </w:rPr>
        <w:t>notebooks,</w:t>
      </w:r>
      <w:r w:rsidRPr="75DC4EEA">
        <w:rPr>
          <w:spacing w:val="32"/>
          <w:sz w:val="24"/>
          <w:szCs w:val="24"/>
        </w:rPr>
        <w:t xml:space="preserve"> </w:t>
      </w:r>
      <w:r w:rsidRPr="75DC4EEA">
        <w:rPr>
          <w:sz w:val="24"/>
          <w:szCs w:val="24"/>
        </w:rPr>
        <w:t>legal</w:t>
      </w:r>
      <w:r w:rsidRPr="75DC4EEA">
        <w:rPr>
          <w:spacing w:val="32"/>
          <w:sz w:val="24"/>
          <w:szCs w:val="24"/>
        </w:rPr>
        <w:t xml:space="preserve"> </w:t>
      </w:r>
      <w:r w:rsidRPr="75DC4EEA">
        <w:rPr>
          <w:sz w:val="24"/>
          <w:szCs w:val="24"/>
        </w:rPr>
        <w:t>memorandums</w:t>
      </w:r>
      <w:r w:rsidRPr="75DC4EEA">
        <w:rPr>
          <w:spacing w:val="32"/>
          <w:sz w:val="24"/>
          <w:szCs w:val="24"/>
        </w:rPr>
        <w:t xml:space="preserve"> </w:t>
      </w:r>
      <w:r w:rsidRPr="75DC4EEA">
        <w:rPr>
          <w:sz w:val="24"/>
          <w:szCs w:val="24"/>
        </w:rPr>
        <w:t>or</w:t>
      </w:r>
      <w:r w:rsidRPr="75DC4EEA">
        <w:rPr>
          <w:spacing w:val="32"/>
          <w:sz w:val="24"/>
          <w:szCs w:val="24"/>
        </w:rPr>
        <w:t xml:space="preserve"> </w:t>
      </w:r>
      <w:r w:rsidRPr="75DC4EEA">
        <w:rPr>
          <w:sz w:val="24"/>
          <w:szCs w:val="24"/>
        </w:rPr>
        <w:t>briefs, along with hard copies of the significant cited legal, medical and/or scientific authorities.</w:t>
      </w:r>
    </w:p>
    <w:p w14:paraId="0AEBDF4C" w14:textId="77777777" w:rsidR="003F6116" w:rsidRDefault="003F6116" w:rsidP="00F1457C">
      <w:pPr>
        <w:pStyle w:val="BodyText"/>
        <w:widowControl/>
        <w:rPr>
          <w:sz w:val="25"/>
        </w:rPr>
      </w:pPr>
    </w:p>
    <w:p w14:paraId="148B8C2B" w14:textId="411DA1C9" w:rsidR="00B519B1" w:rsidRDefault="00F1457C" w:rsidP="00F1457C">
      <w:pPr>
        <w:pStyle w:val="ListParagraph"/>
        <w:widowControl/>
        <w:numPr>
          <w:ilvl w:val="0"/>
          <w:numId w:val="2"/>
        </w:numPr>
        <w:tabs>
          <w:tab w:val="left" w:pos="1541"/>
        </w:tabs>
        <w:spacing w:before="1"/>
        <w:ind w:right="216" w:firstLine="719"/>
        <w:rPr>
          <w:sz w:val="24"/>
        </w:rPr>
      </w:pPr>
      <w:r>
        <w:rPr>
          <w:sz w:val="24"/>
        </w:rPr>
        <w:lastRenderedPageBreak/>
        <w:t>In Florida experts may consider inadmissible material in forming opinions.</w:t>
      </w:r>
      <w:r w:rsidR="00274CD7">
        <w:rPr>
          <w:rStyle w:val="FootnoteReference"/>
          <w:sz w:val="24"/>
        </w:rPr>
        <w:footnoteReference w:id="33"/>
      </w:r>
      <w:r>
        <w:rPr>
          <w:sz w:val="24"/>
        </w:rPr>
        <w:t xml:space="preserve"> In Federal Court, a </w:t>
      </w:r>
      <w:r>
        <w:rPr>
          <w:i/>
          <w:sz w:val="24"/>
        </w:rPr>
        <w:t xml:space="preserve">Daubert </w:t>
      </w:r>
      <w:r>
        <w:rPr>
          <w:sz w:val="24"/>
        </w:rPr>
        <w:t>hearing is not bound by the Rules of Evidence.</w:t>
      </w:r>
      <w:r w:rsidR="00272A34">
        <w:rPr>
          <w:rStyle w:val="FootnoteReference"/>
          <w:sz w:val="24"/>
        </w:rPr>
        <w:footnoteReference w:id="34"/>
      </w:r>
      <w:r>
        <w:rPr>
          <w:spacing w:val="40"/>
          <w:sz w:val="24"/>
        </w:rPr>
        <w:t xml:space="preserve"> </w:t>
      </w:r>
      <w:r>
        <w:rPr>
          <w:sz w:val="24"/>
        </w:rPr>
        <w:t>Therefore, counsel may provide the Court with materials and documents inadmissible to a jury, including, but not limited to, peer-reviewed articles, industry standards, affidavits from consulting experts, or any other relevant materials that will assist the Court in reaching a conclusion as to whether a proper predicate can be laid for the expert’s testimony.</w:t>
      </w:r>
      <w:r w:rsidR="00787851">
        <w:rPr>
          <w:rStyle w:val="FootnoteReference"/>
          <w:sz w:val="24"/>
        </w:rPr>
        <w:footnoteReference w:id="35"/>
      </w:r>
    </w:p>
    <w:p w14:paraId="488CF7BB" w14:textId="77777777" w:rsidR="00B519B1" w:rsidRDefault="00F1457C" w:rsidP="00F1457C">
      <w:pPr>
        <w:pStyle w:val="ListParagraph"/>
        <w:widowControl/>
        <w:numPr>
          <w:ilvl w:val="0"/>
          <w:numId w:val="2"/>
        </w:numPr>
        <w:tabs>
          <w:tab w:val="left" w:pos="1541"/>
        </w:tabs>
        <w:spacing w:before="264"/>
        <w:ind w:right="219" w:firstLine="719"/>
        <w:rPr>
          <w:sz w:val="24"/>
        </w:rPr>
      </w:pPr>
      <w:r>
        <w:rPr>
          <w:sz w:val="24"/>
        </w:rPr>
        <w:t xml:space="preserve">The Court will </w:t>
      </w:r>
      <w:r>
        <w:rPr>
          <w:b/>
          <w:sz w:val="24"/>
          <w:u w:val="single"/>
        </w:rPr>
        <w:t>NOT</w:t>
      </w:r>
      <w:r>
        <w:rPr>
          <w:b/>
          <w:sz w:val="24"/>
        </w:rPr>
        <w:t xml:space="preserve"> </w:t>
      </w:r>
      <w:r>
        <w:rPr>
          <w:sz w:val="24"/>
        </w:rPr>
        <w:t>read deposition transcript(s) that are offered in lieu of live testimony before the hearing, during the hearing, or after the hearing.</w:t>
      </w:r>
      <w:r>
        <w:rPr>
          <w:spacing w:val="40"/>
          <w:sz w:val="24"/>
        </w:rPr>
        <w:t xml:space="preserve"> </w:t>
      </w:r>
      <w:r>
        <w:rPr>
          <w:sz w:val="24"/>
        </w:rPr>
        <w:t>If page(s)/line(s) of the deposition transcript(s) are considered important to the issue(s), such page(s)/line(s) should be: designated and highlighted for the Court to review, if possible, before the hearing, as part of the “courtesy copies (hard copies)” provided to the Court pursuant to paragraph 10 above; and published at the motion hearing, on the record.</w:t>
      </w:r>
    </w:p>
    <w:p w14:paraId="63089DEB" w14:textId="77777777" w:rsidR="00B519B1" w:rsidRDefault="00B519B1" w:rsidP="00F1457C">
      <w:pPr>
        <w:pStyle w:val="BodyText"/>
        <w:widowControl/>
      </w:pPr>
    </w:p>
    <w:p w14:paraId="5C9F2A2B" w14:textId="7B73E215" w:rsidR="00B519B1" w:rsidRDefault="00F1457C" w:rsidP="00F1457C">
      <w:pPr>
        <w:pStyle w:val="ListParagraph"/>
        <w:widowControl/>
        <w:numPr>
          <w:ilvl w:val="0"/>
          <w:numId w:val="2"/>
        </w:numPr>
        <w:tabs>
          <w:tab w:val="left" w:pos="1540"/>
          <w:tab w:val="left" w:pos="1541"/>
        </w:tabs>
        <w:spacing w:before="1"/>
        <w:ind w:right="103" w:firstLine="719"/>
        <w:rPr>
          <w:sz w:val="24"/>
          <w:szCs w:val="24"/>
        </w:rPr>
      </w:pPr>
      <w:r w:rsidRPr="75DC4EEA">
        <w:rPr>
          <w:sz w:val="24"/>
          <w:szCs w:val="24"/>
        </w:rPr>
        <w:t>The Court will strive to announce a ruling in a timely manner, at the conclusion of the</w:t>
      </w:r>
      <w:r w:rsidRPr="75DC4EEA">
        <w:rPr>
          <w:spacing w:val="22"/>
          <w:sz w:val="24"/>
          <w:szCs w:val="24"/>
        </w:rPr>
        <w:t xml:space="preserve"> </w:t>
      </w:r>
      <w:r w:rsidRPr="75DC4EEA">
        <w:rPr>
          <w:sz w:val="24"/>
          <w:szCs w:val="24"/>
        </w:rPr>
        <w:t>hearing</w:t>
      </w:r>
      <w:r w:rsidRPr="75DC4EEA">
        <w:rPr>
          <w:spacing w:val="23"/>
          <w:sz w:val="24"/>
          <w:szCs w:val="24"/>
        </w:rPr>
        <w:t xml:space="preserve"> </w:t>
      </w:r>
      <w:proofErr w:type="gramStart"/>
      <w:r w:rsidRPr="75DC4EEA">
        <w:rPr>
          <w:sz w:val="24"/>
          <w:szCs w:val="24"/>
        </w:rPr>
        <w:t>if</w:t>
      </w:r>
      <w:r w:rsidRPr="75DC4EEA">
        <w:rPr>
          <w:spacing w:val="23"/>
          <w:sz w:val="24"/>
          <w:szCs w:val="24"/>
        </w:rPr>
        <w:t xml:space="preserve"> </w:t>
      </w:r>
      <w:r w:rsidRPr="75DC4EEA">
        <w:rPr>
          <w:sz w:val="24"/>
          <w:szCs w:val="24"/>
        </w:rPr>
        <w:t>at</w:t>
      </w:r>
      <w:r w:rsidRPr="75DC4EEA">
        <w:rPr>
          <w:spacing w:val="23"/>
          <w:sz w:val="24"/>
          <w:szCs w:val="24"/>
        </w:rPr>
        <w:t xml:space="preserve"> </w:t>
      </w:r>
      <w:r w:rsidRPr="75DC4EEA">
        <w:rPr>
          <w:sz w:val="24"/>
          <w:szCs w:val="24"/>
        </w:rPr>
        <w:t>all</w:t>
      </w:r>
      <w:r w:rsidRPr="75DC4EEA">
        <w:rPr>
          <w:spacing w:val="23"/>
          <w:sz w:val="24"/>
          <w:szCs w:val="24"/>
        </w:rPr>
        <w:t xml:space="preserve"> </w:t>
      </w:r>
      <w:r w:rsidRPr="75DC4EEA">
        <w:rPr>
          <w:sz w:val="24"/>
          <w:szCs w:val="24"/>
        </w:rPr>
        <w:t>possible</w:t>
      </w:r>
      <w:proofErr w:type="gramEnd"/>
      <w:r w:rsidRPr="75DC4EEA">
        <w:rPr>
          <w:sz w:val="24"/>
          <w:szCs w:val="24"/>
        </w:rPr>
        <w:t>.</w:t>
      </w:r>
      <w:r w:rsidRPr="75DC4EEA">
        <w:rPr>
          <w:spacing w:val="80"/>
          <w:sz w:val="24"/>
          <w:szCs w:val="24"/>
        </w:rPr>
        <w:t xml:space="preserve"> </w:t>
      </w:r>
      <w:r w:rsidRPr="75DC4EEA">
        <w:rPr>
          <w:sz w:val="24"/>
          <w:szCs w:val="24"/>
        </w:rPr>
        <w:t>The</w:t>
      </w:r>
      <w:r w:rsidRPr="75DC4EEA">
        <w:rPr>
          <w:spacing w:val="23"/>
          <w:sz w:val="24"/>
          <w:szCs w:val="24"/>
        </w:rPr>
        <w:t xml:space="preserve"> </w:t>
      </w:r>
      <w:r w:rsidRPr="75DC4EEA">
        <w:rPr>
          <w:sz w:val="24"/>
          <w:szCs w:val="24"/>
        </w:rPr>
        <w:t>attorney</w:t>
      </w:r>
      <w:r w:rsidRPr="75DC4EEA">
        <w:rPr>
          <w:spacing w:val="23"/>
          <w:sz w:val="24"/>
          <w:szCs w:val="24"/>
        </w:rPr>
        <w:t xml:space="preserve"> </w:t>
      </w:r>
      <w:r w:rsidRPr="75DC4EEA">
        <w:rPr>
          <w:sz w:val="24"/>
          <w:szCs w:val="24"/>
        </w:rPr>
        <w:t>preparing</w:t>
      </w:r>
      <w:r w:rsidRPr="75DC4EEA">
        <w:rPr>
          <w:spacing w:val="23"/>
          <w:sz w:val="24"/>
          <w:szCs w:val="24"/>
        </w:rPr>
        <w:t xml:space="preserve"> </w:t>
      </w:r>
      <w:r w:rsidRPr="75DC4EEA">
        <w:rPr>
          <w:sz w:val="24"/>
          <w:szCs w:val="24"/>
        </w:rPr>
        <w:t>the</w:t>
      </w:r>
      <w:r w:rsidRPr="75DC4EEA">
        <w:rPr>
          <w:spacing w:val="22"/>
          <w:sz w:val="24"/>
          <w:szCs w:val="24"/>
        </w:rPr>
        <w:t xml:space="preserve"> </w:t>
      </w:r>
      <w:r w:rsidRPr="75DC4EEA">
        <w:rPr>
          <w:sz w:val="24"/>
          <w:szCs w:val="24"/>
        </w:rPr>
        <w:t>proposed</w:t>
      </w:r>
      <w:r w:rsidRPr="75DC4EEA">
        <w:rPr>
          <w:spacing w:val="23"/>
          <w:sz w:val="24"/>
          <w:szCs w:val="24"/>
        </w:rPr>
        <w:t xml:space="preserve"> </w:t>
      </w:r>
      <w:r w:rsidRPr="75DC4EEA">
        <w:rPr>
          <w:sz w:val="24"/>
          <w:szCs w:val="24"/>
        </w:rPr>
        <w:t>order,</w:t>
      </w:r>
      <w:r w:rsidRPr="75DC4EEA">
        <w:rPr>
          <w:spacing w:val="22"/>
          <w:sz w:val="24"/>
          <w:szCs w:val="24"/>
        </w:rPr>
        <w:t xml:space="preserve"> </w:t>
      </w:r>
      <w:r w:rsidRPr="75DC4EEA">
        <w:rPr>
          <w:sz w:val="24"/>
          <w:szCs w:val="24"/>
        </w:rPr>
        <w:t>and</w:t>
      </w:r>
      <w:r w:rsidRPr="75DC4EEA">
        <w:rPr>
          <w:spacing w:val="23"/>
          <w:sz w:val="24"/>
          <w:szCs w:val="24"/>
        </w:rPr>
        <w:t xml:space="preserve"> </w:t>
      </w:r>
      <w:r w:rsidRPr="75DC4EEA">
        <w:rPr>
          <w:sz w:val="24"/>
          <w:szCs w:val="24"/>
        </w:rPr>
        <w:t>all</w:t>
      </w:r>
      <w:r w:rsidRPr="75DC4EEA">
        <w:rPr>
          <w:spacing w:val="23"/>
          <w:sz w:val="24"/>
          <w:szCs w:val="24"/>
        </w:rPr>
        <w:t xml:space="preserve"> </w:t>
      </w:r>
      <w:r w:rsidRPr="75DC4EEA">
        <w:rPr>
          <w:sz w:val="24"/>
          <w:szCs w:val="24"/>
        </w:rPr>
        <w:t>other</w:t>
      </w:r>
      <w:r w:rsidRPr="75DC4EEA">
        <w:rPr>
          <w:spacing w:val="23"/>
          <w:sz w:val="24"/>
          <w:szCs w:val="24"/>
        </w:rPr>
        <w:t xml:space="preserve"> </w:t>
      </w:r>
      <w:r w:rsidRPr="75DC4EEA">
        <w:rPr>
          <w:sz w:val="24"/>
          <w:szCs w:val="24"/>
        </w:rPr>
        <w:t xml:space="preserve">counsel, shall comply with the provisions of Section </w:t>
      </w:r>
      <w:r w:rsidR="2C25A71D" w:rsidRPr="75DC4EEA">
        <w:rPr>
          <w:sz w:val="24"/>
          <w:szCs w:val="24"/>
        </w:rPr>
        <w:t>VII</w:t>
      </w:r>
      <w:r w:rsidRPr="75DC4EEA">
        <w:rPr>
          <w:sz w:val="24"/>
          <w:szCs w:val="24"/>
        </w:rPr>
        <w:t xml:space="preserve"> of the “</w:t>
      </w:r>
      <w:r w:rsidR="00E070F0">
        <w:rPr>
          <w:sz w:val="24"/>
          <w:szCs w:val="24"/>
        </w:rPr>
        <w:t>Division L</w:t>
      </w:r>
      <w:r w:rsidRPr="75DC4EEA">
        <w:rPr>
          <w:sz w:val="24"/>
          <w:szCs w:val="24"/>
        </w:rPr>
        <w:t xml:space="preserve"> Civil Procedures”</w:t>
      </w:r>
      <w:r w:rsidR="002A1314">
        <w:rPr>
          <w:rStyle w:val="FootnoteReference"/>
          <w:sz w:val="24"/>
          <w:szCs w:val="24"/>
        </w:rPr>
        <w:footnoteReference w:id="36"/>
      </w:r>
      <w:r w:rsidRPr="75DC4EEA">
        <w:rPr>
          <w:sz w:val="24"/>
          <w:szCs w:val="24"/>
        </w:rPr>
        <w:t xml:space="preserve"> related to</w:t>
      </w:r>
      <w:r w:rsidRPr="75DC4EEA">
        <w:rPr>
          <w:spacing w:val="40"/>
          <w:sz w:val="24"/>
          <w:szCs w:val="24"/>
        </w:rPr>
        <w:t xml:space="preserve"> </w:t>
      </w:r>
      <w:r w:rsidRPr="75DC4EEA">
        <w:rPr>
          <w:sz w:val="24"/>
          <w:szCs w:val="24"/>
        </w:rPr>
        <w:t>the preparation of proposed orders after a hearing.</w:t>
      </w:r>
    </w:p>
    <w:p w14:paraId="61219FBE" w14:textId="77777777" w:rsidR="00B519B1" w:rsidRDefault="00B519B1" w:rsidP="00F1457C">
      <w:pPr>
        <w:pStyle w:val="BodyText"/>
        <w:widowControl/>
      </w:pPr>
    </w:p>
    <w:p w14:paraId="61FA19FB" w14:textId="77777777" w:rsidR="00B519B1" w:rsidRDefault="00F1457C" w:rsidP="00F1457C">
      <w:pPr>
        <w:pStyle w:val="ListParagraph"/>
        <w:widowControl/>
        <w:numPr>
          <w:ilvl w:val="0"/>
          <w:numId w:val="2"/>
        </w:numPr>
        <w:tabs>
          <w:tab w:val="left" w:pos="1541"/>
        </w:tabs>
        <w:ind w:right="217" w:firstLine="719"/>
        <w:rPr>
          <w:sz w:val="24"/>
        </w:rPr>
      </w:pPr>
      <w:r>
        <w:rPr>
          <w:sz w:val="24"/>
        </w:rPr>
        <w:t>Please</w:t>
      </w:r>
      <w:r>
        <w:rPr>
          <w:spacing w:val="-2"/>
          <w:sz w:val="24"/>
        </w:rPr>
        <w:t xml:space="preserve"> </w:t>
      </w:r>
      <w:r>
        <w:rPr>
          <w:sz w:val="24"/>
        </w:rPr>
        <w:t>advise</w:t>
      </w:r>
      <w:r>
        <w:rPr>
          <w:spacing w:val="-2"/>
          <w:sz w:val="24"/>
        </w:rPr>
        <w:t xml:space="preserve"> </w:t>
      </w:r>
      <w:r>
        <w:rPr>
          <w:sz w:val="24"/>
        </w:rPr>
        <w:t>the</w:t>
      </w:r>
      <w:r>
        <w:rPr>
          <w:spacing w:val="-2"/>
          <w:sz w:val="24"/>
        </w:rPr>
        <w:t xml:space="preserve"> </w:t>
      </w:r>
      <w:r>
        <w:rPr>
          <w:sz w:val="24"/>
        </w:rPr>
        <w:t>Judicial</w:t>
      </w:r>
      <w:r>
        <w:rPr>
          <w:spacing w:val="-1"/>
          <w:sz w:val="24"/>
        </w:rPr>
        <w:t xml:space="preserve"> </w:t>
      </w:r>
      <w:r>
        <w:rPr>
          <w:sz w:val="24"/>
        </w:rPr>
        <w:t>Assistant</w:t>
      </w:r>
      <w:r>
        <w:rPr>
          <w:spacing w:val="-1"/>
          <w:sz w:val="24"/>
        </w:rPr>
        <w:t xml:space="preserve"> </w:t>
      </w:r>
      <w:r>
        <w:rPr>
          <w:sz w:val="24"/>
        </w:rPr>
        <w:t>when</w:t>
      </w:r>
      <w:r>
        <w:rPr>
          <w:spacing w:val="-1"/>
          <w:sz w:val="24"/>
        </w:rPr>
        <w:t xml:space="preserve"> </w:t>
      </w:r>
      <w:r>
        <w:rPr>
          <w:sz w:val="24"/>
        </w:rPr>
        <w:t>scheduling</w:t>
      </w:r>
      <w:r>
        <w:rPr>
          <w:spacing w:val="-4"/>
          <w:sz w:val="24"/>
        </w:rPr>
        <w:t xml:space="preserve"> </w:t>
      </w:r>
      <w:r>
        <w:rPr>
          <w:sz w:val="24"/>
        </w:rPr>
        <w:t>the expert</w:t>
      </w:r>
      <w:r>
        <w:rPr>
          <w:spacing w:val="-2"/>
          <w:sz w:val="24"/>
        </w:rPr>
        <w:t xml:space="preserve"> </w:t>
      </w:r>
      <w:r>
        <w:rPr>
          <w:sz w:val="24"/>
        </w:rPr>
        <w:t>witness hearing(s) how many attorneys, paralegals, parties, witnesses, and/or other interested persons will be</w:t>
      </w:r>
      <w:r>
        <w:rPr>
          <w:spacing w:val="40"/>
          <w:sz w:val="24"/>
        </w:rPr>
        <w:t xml:space="preserve"> </w:t>
      </w:r>
      <w:r>
        <w:rPr>
          <w:sz w:val="24"/>
        </w:rPr>
        <w:t>present or participating in the hearing(s) to allow the Judicial Assistant to determine if a courtroom or hearing room is the appropriate location for such hearing(s).</w:t>
      </w:r>
    </w:p>
    <w:p w14:paraId="52C3A9D8" w14:textId="77777777" w:rsidR="00B519B1" w:rsidRDefault="00B519B1" w:rsidP="00F1457C">
      <w:pPr>
        <w:pStyle w:val="BodyText"/>
        <w:widowControl/>
        <w:rPr>
          <w:sz w:val="20"/>
        </w:rPr>
      </w:pPr>
    </w:p>
    <w:p w14:paraId="414B1F50" w14:textId="77777777" w:rsidR="00B519B1" w:rsidRDefault="00B519B1" w:rsidP="00F1457C">
      <w:pPr>
        <w:pStyle w:val="BodyText"/>
        <w:widowControl/>
        <w:rPr>
          <w:sz w:val="20"/>
        </w:rPr>
      </w:pPr>
    </w:p>
    <w:sectPr w:rsidR="00B519B1">
      <w:footerReference w:type="default" r:id="rId11"/>
      <w:pgSz w:w="12240" w:h="15840"/>
      <w:pgMar w:top="1360" w:right="1220" w:bottom="1260" w:left="1340"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352F" w14:textId="77777777" w:rsidR="00D530AF" w:rsidRDefault="00D530AF">
      <w:r>
        <w:separator/>
      </w:r>
    </w:p>
  </w:endnote>
  <w:endnote w:type="continuationSeparator" w:id="0">
    <w:p w14:paraId="1F7AB1E3" w14:textId="77777777" w:rsidR="00D530AF" w:rsidRDefault="00D5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4833" w14:textId="77777777" w:rsidR="00B519B1" w:rsidRDefault="00252D36">
    <w:pPr>
      <w:pStyle w:val="BodyText"/>
      <w:spacing w:line="14" w:lineRule="auto"/>
      <w:rPr>
        <w:sz w:val="20"/>
      </w:rPr>
    </w:pPr>
    <w:r>
      <w:pict w14:anchorId="20B0F209">
        <v:shapetype id="_x0000_t202" coordsize="21600,21600" o:spt="202" path="m,l,21600r21600,l21600,xe">
          <v:stroke joinstyle="miter"/>
          <v:path gradientshapeok="t" o:connecttype="rect"/>
        </v:shapetype>
        <v:shape id="docshape2" o:spid="_x0000_s1025" type="#_x0000_t202" style="position:absolute;margin-left:300.05pt;margin-top:727.65pt;width:13pt;height:15.3pt;z-index:-251658752;mso-position-horizontal-relative:page;mso-position-vertical-relative:page" filled="f" stroked="f">
          <v:textbox style="mso-next-textbox:#docshape2" inset="0,0,0,0">
            <w:txbxContent>
              <w:p w14:paraId="3F420090" w14:textId="77777777" w:rsidR="00B519B1" w:rsidRDefault="00F1457C">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C072" w14:textId="77777777" w:rsidR="00D530AF" w:rsidRDefault="00D530AF">
      <w:r>
        <w:separator/>
      </w:r>
    </w:p>
  </w:footnote>
  <w:footnote w:type="continuationSeparator" w:id="0">
    <w:p w14:paraId="6F264BD6" w14:textId="77777777" w:rsidR="00D530AF" w:rsidRDefault="00D530AF">
      <w:r>
        <w:continuationSeparator/>
      </w:r>
    </w:p>
  </w:footnote>
  <w:footnote w:id="1">
    <w:p w14:paraId="35553E0D" w14:textId="111EFBA9" w:rsidR="000A28A5" w:rsidRDefault="000A28A5">
      <w:pPr>
        <w:pStyle w:val="FootnoteText"/>
      </w:pPr>
      <w:r>
        <w:rPr>
          <w:rStyle w:val="FootnoteReference"/>
        </w:rPr>
        <w:footnoteRef/>
      </w:r>
      <w:r>
        <w:t xml:space="preserve"> </w:t>
      </w:r>
      <w:r>
        <w:rPr>
          <w:i/>
        </w:rPr>
        <w:t>Daubert</w:t>
      </w:r>
      <w:r>
        <w:rPr>
          <w:i/>
          <w:spacing w:val="-4"/>
        </w:rPr>
        <w:t xml:space="preserve"> </w:t>
      </w:r>
      <w:r>
        <w:rPr>
          <w:i/>
        </w:rPr>
        <w:t>v.</w:t>
      </w:r>
      <w:r>
        <w:rPr>
          <w:i/>
          <w:spacing w:val="-2"/>
        </w:rPr>
        <w:t xml:space="preserve"> </w:t>
      </w:r>
      <w:r>
        <w:rPr>
          <w:i/>
        </w:rPr>
        <w:t>Merrill</w:t>
      </w:r>
      <w:r>
        <w:rPr>
          <w:i/>
          <w:spacing w:val="-4"/>
        </w:rPr>
        <w:t xml:space="preserve"> </w:t>
      </w:r>
      <w:r>
        <w:rPr>
          <w:i/>
        </w:rPr>
        <w:t>Dow</w:t>
      </w:r>
      <w:r>
        <w:rPr>
          <w:i/>
          <w:spacing w:val="-4"/>
        </w:rPr>
        <w:t xml:space="preserve"> </w:t>
      </w:r>
      <w:r>
        <w:rPr>
          <w:i/>
        </w:rPr>
        <w:t>Pharmaceuticals,</w:t>
      </w:r>
      <w:r>
        <w:rPr>
          <w:i/>
          <w:spacing w:val="-3"/>
        </w:rPr>
        <w:t xml:space="preserve"> </w:t>
      </w:r>
      <w:r>
        <w:rPr>
          <w:i/>
        </w:rPr>
        <w:t xml:space="preserve">Inc. </w:t>
      </w:r>
      <w:r>
        <w:t>509</w:t>
      </w:r>
      <w:r>
        <w:rPr>
          <w:spacing w:val="-2"/>
        </w:rPr>
        <w:t xml:space="preserve"> </w:t>
      </w:r>
      <w:r>
        <w:t>U.S.</w:t>
      </w:r>
      <w:r>
        <w:rPr>
          <w:spacing w:val="-5"/>
        </w:rPr>
        <w:t xml:space="preserve"> </w:t>
      </w:r>
      <w:r>
        <w:t>579;</w:t>
      </w:r>
      <w:r>
        <w:rPr>
          <w:spacing w:val="-4"/>
        </w:rPr>
        <w:t xml:space="preserve"> </w:t>
      </w:r>
      <w:r>
        <w:t>113</w:t>
      </w:r>
      <w:r>
        <w:rPr>
          <w:spacing w:val="-3"/>
        </w:rPr>
        <w:t xml:space="preserve"> </w:t>
      </w:r>
      <w:proofErr w:type="spellStart"/>
      <w:r>
        <w:t>S.Ct</w:t>
      </w:r>
      <w:proofErr w:type="spellEnd"/>
      <w:r>
        <w:t>.</w:t>
      </w:r>
      <w:r>
        <w:rPr>
          <w:spacing w:val="-3"/>
        </w:rPr>
        <w:t xml:space="preserve"> </w:t>
      </w:r>
      <w:r>
        <w:t>2786;</w:t>
      </w:r>
      <w:r>
        <w:rPr>
          <w:spacing w:val="-6"/>
        </w:rPr>
        <w:t xml:space="preserve"> </w:t>
      </w:r>
      <w:r>
        <w:t>125</w:t>
      </w:r>
      <w:r>
        <w:rPr>
          <w:spacing w:val="-2"/>
        </w:rPr>
        <w:t xml:space="preserve"> </w:t>
      </w:r>
      <w:r>
        <w:t>L.</w:t>
      </w:r>
      <w:r>
        <w:rPr>
          <w:spacing w:val="-3"/>
        </w:rPr>
        <w:t xml:space="preserve"> </w:t>
      </w:r>
      <w:r>
        <w:t>Ed.</w:t>
      </w:r>
      <w:r>
        <w:rPr>
          <w:spacing w:val="-7"/>
        </w:rPr>
        <w:t xml:space="preserve"> </w:t>
      </w:r>
      <w:r>
        <w:t>469</w:t>
      </w:r>
      <w:r>
        <w:rPr>
          <w:spacing w:val="-2"/>
        </w:rPr>
        <w:t xml:space="preserve"> (1993).</w:t>
      </w:r>
    </w:p>
  </w:footnote>
  <w:footnote w:id="2">
    <w:p w14:paraId="4E200620" w14:textId="3AB07BF6" w:rsidR="007E443C" w:rsidRDefault="007E443C">
      <w:pPr>
        <w:pStyle w:val="FootnoteText"/>
      </w:pPr>
      <w:r>
        <w:rPr>
          <w:rStyle w:val="FootnoteReference"/>
        </w:rPr>
        <w:footnoteRef/>
      </w:r>
      <w:r>
        <w:t xml:space="preserve"> Video-conferenced</w:t>
      </w:r>
      <w:r>
        <w:rPr>
          <w:spacing w:val="-4"/>
        </w:rPr>
        <w:t xml:space="preserve"> </w:t>
      </w:r>
      <w:r>
        <w:t>testimony</w:t>
      </w:r>
      <w:r>
        <w:rPr>
          <w:spacing w:val="-4"/>
        </w:rPr>
        <w:t xml:space="preserve"> </w:t>
      </w:r>
      <w:r>
        <w:t>can</w:t>
      </w:r>
      <w:r>
        <w:rPr>
          <w:spacing w:val="-6"/>
        </w:rPr>
        <w:t xml:space="preserve"> </w:t>
      </w:r>
      <w:r>
        <w:t>be</w:t>
      </w:r>
      <w:r>
        <w:rPr>
          <w:spacing w:val="-5"/>
        </w:rPr>
        <w:t xml:space="preserve"> </w:t>
      </w:r>
      <w:r>
        <w:t>utilized</w:t>
      </w:r>
      <w:r>
        <w:rPr>
          <w:spacing w:val="-5"/>
        </w:rPr>
        <w:t xml:space="preserve"> </w:t>
      </w:r>
      <w:r>
        <w:t>if</w:t>
      </w:r>
      <w:r>
        <w:rPr>
          <w:spacing w:val="-7"/>
        </w:rPr>
        <w:t xml:space="preserve"> </w:t>
      </w:r>
      <w:r>
        <w:t>coordinated</w:t>
      </w:r>
      <w:r>
        <w:rPr>
          <w:spacing w:val="-1"/>
        </w:rPr>
        <w:t xml:space="preserve"> </w:t>
      </w:r>
      <w:r>
        <w:t>with</w:t>
      </w:r>
      <w:r>
        <w:rPr>
          <w:spacing w:val="-6"/>
        </w:rPr>
        <w:t xml:space="preserve"> </w:t>
      </w:r>
      <w:r>
        <w:t>other</w:t>
      </w:r>
      <w:r>
        <w:rPr>
          <w:spacing w:val="-4"/>
        </w:rPr>
        <w:t xml:space="preserve"> </w:t>
      </w:r>
      <w:r>
        <w:t>counsel</w:t>
      </w:r>
      <w:r>
        <w:rPr>
          <w:spacing w:val="-6"/>
        </w:rPr>
        <w:t xml:space="preserve"> </w:t>
      </w:r>
      <w:r>
        <w:t>and</w:t>
      </w:r>
      <w:r>
        <w:rPr>
          <w:spacing w:val="-4"/>
        </w:rPr>
        <w:t xml:space="preserve"> </w:t>
      </w:r>
      <w:r>
        <w:t>approved</w:t>
      </w:r>
      <w:r>
        <w:rPr>
          <w:spacing w:val="-4"/>
        </w:rPr>
        <w:t xml:space="preserve"> </w:t>
      </w:r>
      <w:r>
        <w:t>by</w:t>
      </w:r>
      <w:r>
        <w:rPr>
          <w:spacing w:val="-9"/>
        </w:rPr>
        <w:t xml:space="preserve"> </w:t>
      </w:r>
      <w:r>
        <w:t>the</w:t>
      </w:r>
      <w:r>
        <w:rPr>
          <w:spacing w:val="-2"/>
        </w:rPr>
        <w:t xml:space="preserve"> Court.</w:t>
      </w:r>
    </w:p>
  </w:footnote>
  <w:footnote w:id="3">
    <w:p w14:paraId="186294F1" w14:textId="5F89DE64" w:rsidR="00BF5507" w:rsidRDefault="00BF5507">
      <w:pPr>
        <w:pStyle w:val="FootnoteText"/>
      </w:pPr>
      <w:r>
        <w:rPr>
          <w:rStyle w:val="FootnoteReference"/>
        </w:rPr>
        <w:footnoteRef/>
      </w:r>
      <w:r>
        <w:t xml:space="preserve"> </w:t>
      </w:r>
      <w:r>
        <w:rPr>
          <w:i/>
        </w:rPr>
        <w:t>Kumho</w:t>
      </w:r>
      <w:r>
        <w:rPr>
          <w:i/>
          <w:spacing w:val="-3"/>
        </w:rPr>
        <w:t xml:space="preserve"> </w:t>
      </w:r>
      <w:r>
        <w:rPr>
          <w:i/>
        </w:rPr>
        <w:t>Tire</w:t>
      </w:r>
      <w:r>
        <w:rPr>
          <w:i/>
          <w:spacing w:val="-3"/>
        </w:rPr>
        <w:t xml:space="preserve"> </w:t>
      </w:r>
      <w:r>
        <w:rPr>
          <w:i/>
        </w:rPr>
        <w:t>Co.,</w:t>
      </w:r>
      <w:r>
        <w:rPr>
          <w:i/>
          <w:spacing w:val="-4"/>
        </w:rPr>
        <w:t xml:space="preserve"> </w:t>
      </w:r>
      <w:r>
        <w:rPr>
          <w:i/>
        </w:rPr>
        <w:t>Ltd.</w:t>
      </w:r>
      <w:r>
        <w:rPr>
          <w:i/>
          <w:spacing w:val="-4"/>
        </w:rPr>
        <w:t xml:space="preserve"> </w:t>
      </w:r>
      <w:r>
        <w:rPr>
          <w:i/>
        </w:rPr>
        <w:t>v.</w:t>
      </w:r>
      <w:r>
        <w:rPr>
          <w:i/>
          <w:spacing w:val="-2"/>
        </w:rPr>
        <w:t xml:space="preserve"> </w:t>
      </w:r>
      <w:r>
        <w:rPr>
          <w:i/>
        </w:rPr>
        <w:t>Carmichael</w:t>
      </w:r>
      <w:r>
        <w:t>,</w:t>
      </w:r>
      <w:r>
        <w:rPr>
          <w:spacing w:val="-4"/>
        </w:rPr>
        <w:t xml:space="preserve"> </w:t>
      </w:r>
      <w:r>
        <w:t>526</w:t>
      </w:r>
      <w:r>
        <w:rPr>
          <w:spacing w:val="-2"/>
        </w:rPr>
        <w:t xml:space="preserve"> </w:t>
      </w:r>
      <w:r>
        <w:t>U.S.</w:t>
      </w:r>
      <w:r>
        <w:rPr>
          <w:spacing w:val="-4"/>
        </w:rPr>
        <w:t xml:space="preserve"> </w:t>
      </w:r>
      <w:r>
        <w:t>137,</w:t>
      </w:r>
      <w:r>
        <w:rPr>
          <w:spacing w:val="-4"/>
        </w:rPr>
        <w:t xml:space="preserve"> </w:t>
      </w:r>
      <w:r>
        <w:t>152</w:t>
      </w:r>
      <w:r>
        <w:rPr>
          <w:spacing w:val="-4"/>
        </w:rPr>
        <w:t xml:space="preserve"> </w:t>
      </w:r>
      <w:r>
        <w:rPr>
          <w:spacing w:val="-2"/>
        </w:rPr>
        <w:t>(1999).</w:t>
      </w:r>
    </w:p>
  </w:footnote>
  <w:footnote w:id="4">
    <w:p w14:paraId="3271677A" w14:textId="3964959D" w:rsidR="00183D47" w:rsidRDefault="00183D47">
      <w:pPr>
        <w:pStyle w:val="FootnoteText"/>
      </w:pPr>
      <w:r>
        <w:rPr>
          <w:rStyle w:val="FootnoteReference"/>
        </w:rPr>
        <w:footnoteRef/>
      </w:r>
      <w:r>
        <w:t xml:space="preserve"> </w:t>
      </w:r>
      <w:r>
        <w:rPr>
          <w:i/>
        </w:rPr>
        <w:t>See</w:t>
      </w:r>
      <w:r>
        <w:rPr>
          <w:i/>
          <w:spacing w:val="-1"/>
        </w:rPr>
        <w:t xml:space="preserve"> </w:t>
      </w:r>
      <w:r>
        <w:rPr>
          <w:i/>
        </w:rPr>
        <w:t>Booker</w:t>
      </w:r>
      <w:r>
        <w:rPr>
          <w:i/>
          <w:spacing w:val="-3"/>
        </w:rPr>
        <w:t xml:space="preserve"> </w:t>
      </w:r>
      <w:r>
        <w:rPr>
          <w:i/>
        </w:rPr>
        <w:t>v.</w:t>
      </w:r>
      <w:r>
        <w:rPr>
          <w:i/>
          <w:spacing w:val="-4"/>
        </w:rPr>
        <w:t xml:space="preserve"> </w:t>
      </w:r>
      <w:r>
        <w:rPr>
          <w:i/>
        </w:rPr>
        <w:t>Sumter</w:t>
      </w:r>
      <w:r>
        <w:rPr>
          <w:i/>
          <w:spacing w:val="-3"/>
        </w:rPr>
        <w:t xml:space="preserve"> </w:t>
      </w:r>
      <w:r>
        <w:rPr>
          <w:i/>
        </w:rPr>
        <w:t>County</w:t>
      </w:r>
      <w:r>
        <w:rPr>
          <w:i/>
          <w:spacing w:val="-4"/>
        </w:rPr>
        <w:t xml:space="preserve"> </w:t>
      </w:r>
      <w:r>
        <w:rPr>
          <w:i/>
        </w:rPr>
        <w:t>Sheriff’s</w:t>
      </w:r>
      <w:r>
        <w:rPr>
          <w:i/>
          <w:spacing w:val="-3"/>
        </w:rPr>
        <w:t xml:space="preserve"> </w:t>
      </w:r>
      <w:r>
        <w:rPr>
          <w:i/>
        </w:rPr>
        <w:t>Office/North</w:t>
      </w:r>
      <w:r>
        <w:rPr>
          <w:i/>
          <w:spacing w:val="-1"/>
        </w:rPr>
        <w:t xml:space="preserve"> </w:t>
      </w:r>
      <w:r>
        <w:rPr>
          <w:i/>
        </w:rPr>
        <w:t>America</w:t>
      </w:r>
      <w:r>
        <w:rPr>
          <w:i/>
          <w:spacing w:val="-1"/>
        </w:rPr>
        <w:t xml:space="preserve"> </w:t>
      </w:r>
      <w:r>
        <w:rPr>
          <w:i/>
        </w:rPr>
        <w:t>Risk</w:t>
      </w:r>
      <w:r>
        <w:rPr>
          <w:i/>
          <w:spacing w:val="-2"/>
        </w:rPr>
        <w:t xml:space="preserve"> </w:t>
      </w:r>
      <w:r>
        <w:rPr>
          <w:i/>
        </w:rPr>
        <w:t>Services</w:t>
      </w:r>
      <w:r>
        <w:t>,</w:t>
      </w:r>
      <w:r>
        <w:rPr>
          <w:spacing w:val="-1"/>
        </w:rPr>
        <w:t xml:space="preserve"> </w:t>
      </w:r>
      <w:r>
        <w:t>166</w:t>
      </w:r>
      <w:r>
        <w:rPr>
          <w:spacing w:val="-1"/>
        </w:rPr>
        <w:t xml:space="preserve"> </w:t>
      </w:r>
      <w:r>
        <w:t>So.</w:t>
      </w:r>
      <w:r>
        <w:rPr>
          <w:spacing w:val="-4"/>
        </w:rPr>
        <w:t xml:space="preserve"> </w:t>
      </w:r>
      <w:r>
        <w:t>3d</w:t>
      </w:r>
      <w:r>
        <w:rPr>
          <w:spacing w:val="-1"/>
        </w:rPr>
        <w:t xml:space="preserve"> </w:t>
      </w:r>
      <w:r>
        <w:t>189,</w:t>
      </w:r>
      <w:r>
        <w:rPr>
          <w:spacing w:val="-2"/>
        </w:rPr>
        <w:t xml:space="preserve"> </w:t>
      </w:r>
      <w:r>
        <w:t>at</w:t>
      </w:r>
      <w:r>
        <w:rPr>
          <w:spacing w:val="-2"/>
        </w:rPr>
        <w:t xml:space="preserve"> </w:t>
      </w:r>
      <w:r>
        <w:t>192</w:t>
      </w:r>
      <w:r>
        <w:rPr>
          <w:spacing w:val="-1"/>
        </w:rPr>
        <w:t xml:space="preserve"> </w:t>
      </w:r>
      <w:r>
        <w:t>(Fla.</w:t>
      </w:r>
      <w:r>
        <w:rPr>
          <w:spacing w:val="-2"/>
        </w:rPr>
        <w:t xml:space="preserve"> </w:t>
      </w:r>
      <w:r>
        <w:t>1</w:t>
      </w:r>
      <w:r>
        <w:rPr>
          <w:vertAlign w:val="superscript"/>
        </w:rPr>
        <w:t>st</w:t>
      </w:r>
      <w:r>
        <w:rPr>
          <w:spacing w:val="-2"/>
        </w:rPr>
        <w:t xml:space="preserve"> </w:t>
      </w:r>
      <w:r>
        <w:t xml:space="preserve">DCA </w:t>
      </w:r>
      <w:r>
        <w:rPr>
          <w:spacing w:val="-2"/>
        </w:rPr>
        <w:t>2015).</w:t>
      </w:r>
    </w:p>
  </w:footnote>
  <w:footnote w:id="5">
    <w:p w14:paraId="64EFE44E" w14:textId="5557F4C5" w:rsidR="004F15EA" w:rsidRDefault="004F15EA">
      <w:pPr>
        <w:pStyle w:val="FootnoteText"/>
      </w:pPr>
      <w:r>
        <w:rPr>
          <w:rStyle w:val="FootnoteReference"/>
        </w:rPr>
        <w:footnoteRef/>
      </w:r>
      <w:r>
        <w:t xml:space="preserve"> </w:t>
      </w:r>
      <w:proofErr w:type="gramStart"/>
      <w:r>
        <w:rPr>
          <w:i/>
        </w:rPr>
        <w:t>Id.</w:t>
      </w:r>
      <w:r>
        <w:t>;</w:t>
      </w:r>
      <w:proofErr w:type="gramEnd"/>
      <w:r>
        <w:rPr>
          <w:spacing w:val="-2"/>
        </w:rPr>
        <w:t xml:space="preserve"> </w:t>
      </w:r>
      <w:r>
        <w:rPr>
          <w:i/>
        </w:rPr>
        <w:t>Rojas</w:t>
      </w:r>
      <w:r>
        <w:rPr>
          <w:i/>
          <w:spacing w:val="-3"/>
        </w:rPr>
        <w:t xml:space="preserve"> </w:t>
      </w:r>
      <w:r>
        <w:rPr>
          <w:i/>
        </w:rPr>
        <w:t>v.</w:t>
      </w:r>
      <w:r>
        <w:rPr>
          <w:i/>
          <w:spacing w:val="-1"/>
        </w:rPr>
        <w:t xml:space="preserve"> </w:t>
      </w:r>
      <w:r>
        <w:rPr>
          <w:i/>
        </w:rPr>
        <w:t>Rodriquez</w:t>
      </w:r>
      <w:r>
        <w:t>,</w:t>
      </w:r>
      <w:r>
        <w:rPr>
          <w:spacing w:val="-4"/>
        </w:rPr>
        <w:t xml:space="preserve"> </w:t>
      </w:r>
      <w:r>
        <w:t>185</w:t>
      </w:r>
      <w:r>
        <w:rPr>
          <w:spacing w:val="-1"/>
        </w:rPr>
        <w:t xml:space="preserve"> </w:t>
      </w:r>
      <w:r>
        <w:t>So.</w:t>
      </w:r>
      <w:r>
        <w:rPr>
          <w:spacing w:val="-2"/>
        </w:rPr>
        <w:t xml:space="preserve"> </w:t>
      </w:r>
      <w:r>
        <w:t>3d</w:t>
      </w:r>
      <w:r>
        <w:rPr>
          <w:spacing w:val="-3"/>
        </w:rPr>
        <w:t xml:space="preserve"> </w:t>
      </w:r>
      <w:r>
        <w:t>710,</w:t>
      </w:r>
      <w:r>
        <w:rPr>
          <w:spacing w:val="-2"/>
        </w:rPr>
        <w:t xml:space="preserve"> </w:t>
      </w:r>
      <w:r>
        <w:t>at</w:t>
      </w:r>
      <w:r>
        <w:rPr>
          <w:spacing w:val="-2"/>
        </w:rPr>
        <w:t xml:space="preserve"> </w:t>
      </w:r>
      <w:r>
        <w:t>711-12</w:t>
      </w:r>
      <w:r>
        <w:rPr>
          <w:spacing w:val="-1"/>
        </w:rPr>
        <w:t xml:space="preserve"> </w:t>
      </w:r>
      <w:r>
        <w:t>(Fla.</w:t>
      </w:r>
      <w:r>
        <w:rPr>
          <w:spacing w:val="-2"/>
        </w:rPr>
        <w:t xml:space="preserve"> </w:t>
      </w:r>
      <w:r>
        <w:t>3d</w:t>
      </w:r>
      <w:r>
        <w:rPr>
          <w:spacing w:val="-3"/>
        </w:rPr>
        <w:t xml:space="preserve"> </w:t>
      </w:r>
      <w:r>
        <w:t>DCA</w:t>
      </w:r>
      <w:r>
        <w:rPr>
          <w:spacing w:val="-4"/>
        </w:rPr>
        <w:t xml:space="preserve"> </w:t>
      </w:r>
      <w:r>
        <w:t>2016)</w:t>
      </w:r>
      <w:r>
        <w:rPr>
          <w:spacing w:val="-2"/>
        </w:rPr>
        <w:t xml:space="preserve"> </w:t>
      </w:r>
      <w:r>
        <w:t>(noting</w:t>
      </w:r>
      <w:r>
        <w:rPr>
          <w:spacing w:val="-3"/>
        </w:rPr>
        <w:t xml:space="preserve"> </w:t>
      </w:r>
      <w:r>
        <w:t>that</w:t>
      </w:r>
      <w:r>
        <w:rPr>
          <w:spacing w:val="-3"/>
        </w:rPr>
        <w:t xml:space="preserve"> </w:t>
      </w:r>
      <w:r>
        <w:t>the</w:t>
      </w:r>
      <w:r>
        <w:rPr>
          <w:spacing w:val="-2"/>
        </w:rPr>
        <w:t xml:space="preserve"> </w:t>
      </w:r>
      <w:r>
        <w:t>trial</w:t>
      </w:r>
      <w:r>
        <w:rPr>
          <w:spacing w:val="-2"/>
        </w:rPr>
        <w:t xml:space="preserve"> </w:t>
      </w:r>
      <w:r>
        <w:t>judge</w:t>
      </w:r>
      <w:r>
        <w:rPr>
          <w:spacing w:val="-2"/>
        </w:rPr>
        <w:t xml:space="preserve"> </w:t>
      </w:r>
      <w:r>
        <w:t>reversed</w:t>
      </w:r>
      <w:r>
        <w:rPr>
          <w:spacing w:val="-1"/>
        </w:rPr>
        <w:t xml:space="preserve"> </w:t>
      </w:r>
      <w:r>
        <w:t xml:space="preserve">for excluding expert testimony when the objecting party did not raise the </w:t>
      </w:r>
      <w:r>
        <w:rPr>
          <w:i/>
        </w:rPr>
        <w:t xml:space="preserve">Daubert </w:t>
      </w:r>
      <w:r>
        <w:t>challenge timely).</w:t>
      </w:r>
    </w:p>
  </w:footnote>
  <w:footnote w:id="6">
    <w:p w14:paraId="6912422F" w14:textId="77777777" w:rsidR="004F15EA" w:rsidRDefault="004F15EA" w:rsidP="004F15EA">
      <w:pPr>
        <w:ind w:left="100"/>
        <w:rPr>
          <w:i/>
          <w:sz w:val="20"/>
        </w:rPr>
      </w:pPr>
      <w:r>
        <w:rPr>
          <w:rStyle w:val="FootnoteReference"/>
        </w:rPr>
        <w:footnoteRef/>
      </w:r>
      <w:r>
        <w:t xml:space="preserve"> </w:t>
      </w:r>
      <w:r>
        <w:rPr>
          <w:i/>
          <w:sz w:val="20"/>
        </w:rPr>
        <w:t>Rojas</w:t>
      </w:r>
      <w:r>
        <w:rPr>
          <w:sz w:val="20"/>
        </w:rPr>
        <w:t>,</w:t>
      </w:r>
      <w:r>
        <w:rPr>
          <w:spacing w:val="-2"/>
          <w:sz w:val="20"/>
        </w:rPr>
        <w:t xml:space="preserve"> </w:t>
      </w:r>
      <w:r>
        <w:rPr>
          <w:sz w:val="20"/>
        </w:rPr>
        <w:t>185</w:t>
      </w:r>
      <w:r>
        <w:rPr>
          <w:spacing w:val="-1"/>
          <w:sz w:val="20"/>
        </w:rPr>
        <w:t xml:space="preserve"> </w:t>
      </w:r>
      <w:r>
        <w:rPr>
          <w:sz w:val="20"/>
        </w:rPr>
        <w:t>So.</w:t>
      </w:r>
      <w:r>
        <w:rPr>
          <w:spacing w:val="-2"/>
          <w:sz w:val="20"/>
        </w:rPr>
        <w:t xml:space="preserve"> </w:t>
      </w:r>
      <w:r>
        <w:rPr>
          <w:sz w:val="20"/>
        </w:rPr>
        <w:t>3d</w:t>
      </w:r>
      <w:r>
        <w:rPr>
          <w:spacing w:val="-1"/>
          <w:sz w:val="20"/>
        </w:rPr>
        <w:t xml:space="preserve"> </w:t>
      </w:r>
      <w:r>
        <w:rPr>
          <w:sz w:val="20"/>
        </w:rPr>
        <w:t>at</w:t>
      </w:r>
      <w:r>
        <w:rPr>
          <w:spacing w:val="-2"/>
          <w:sz w:val="20"/>
        </w:rPr>
        <w:t xml:space="preserve"> </w:t>
      </w:r>
      <w:r>
        <w:rPr>
          <w:sz w:val="20"/>
        </w:rPr>
        <w:t>712.</w:t>
      </w:r>
      <w:r>
        <w:rPr>
          <w:spacing w:val="-1"/>
          <w:sz w:val="20"/>
        </w:rPr>
        <w:t xml:space="preserve"> </w:t>
      </w:r>
      <w:r>
        <w:rPr>
          <w:i/>
          <w:sz w:val="20"/>
        </w:rPr>
        <w:t>See</w:t>
      </w:r>
      <w:r>
        <w:rPr>
          <w:i/>
          <w:spacing w:val="-4"/>
          <w:sz w:val="20"/>
        </w:rPr>
        <w:t xml:space="preserve"> </w:t>
      </w:r>
      <w:r>
        <w:rPr>
          <w:i/>
          <w:sz w:val="20"/>
        </w:rPr>
        <w:t>also Feliciano</w:t>
      </w:r>
      <w:r>
        <w:rPr>
          <w:i/>
          <w:spacing w:val="-1"/>
          <w:sz w:val="20"/>
        </w:rPr>
        <w:t xml:space="preserve"> </w:t>
      </w:r>
      <w:r>
        <w:rPr>
          <w:i/>
          <w:sz w:val="20"/>
        </w:rPr>
        <w:t>Hill</w:t>
      </w:r>
      <w:r>
        <w:rPr>
          <w:i/>
          <w:spacing w:val="-3"/>
          <w:sz w:val="20"/>
        </w:rPr>
        <w:t xml:space="preserve"> </w:t>
      </w:r>
      <w:r>
        <w:rPr>
          <w:i/>
          <w:sz w:val="20"/>
        </w:rPr>
        <w:t>v.</w:t>
      </w:r>
      <w:r>
        <w:rPr>
          <w:i/>
          <w:spacing w:val="-2"/>
          <w:sz w:val="20"/>
        </w:rPr>
        <w:t xml:space="preserve"> </w:t>
      </w:r>
      <w:r>
        <w:rPr>
          <w:i/>
          <w:sz w:val="20"/>
        </w:rPr>
        <w:t>Principi</w:t>
      </w:r>
      <w:r>
        <w:rPr>
          <w:sz w:val="20"/>
        </w:rPr>
        <w:t>,</w:t>
      </w:r>
      <w:r>
        <w:rPr>
          <w:spacing w:val="-4"/>
          <w:sz w:val="20"/>
        </w:rPr>
        <w:t xml:space="preserve"> </w:t>
      </w:r>
      <w:r>
        <w:rPr>
          <w:sz w:val="20"/>
        </w:rPr>
        <w:t>439</w:t>
      </w:r>
      <w:r>
        <w:rPr>
          <w:spacing w:val="-1"/>
          <w:sz w:val="20"/>
        </w:rPr>
        <w:t xml:space="preserve"> </w:t>
      </w:r>
      <w:r>
        <w:rPr>
          <w:sz w:val="20"/>
        </w:rPr>
        <w:t>F.</w:t>
      </w:r>
      <w:r>
        <w:rPr>
          <w:spacing w:val="-4"/>
          <w:sz w:val="20"/>
        </w:rPr>
        <w:t xml:space="preserve"> </w:t>
      </w:r>
      <w:r>
        <w:rPr>
          <w:sz w:val="20"/>
        </w:rPr>
        <w:t>3d</w:t>
      </w:r>
      <w:r>
        <w:rPr>
          <w:spacing w:val="-1"/>
          <w:sz w:val="20"/>
        </w:rPr>
        <w:t xml:space="preserve"> </w:t>
      </w:r>
      <w:r>
        <w:rPr>
          <w:sz w:val="20"/>
        </w:rPr>
        <w:t>18,</w:t>
      </w:r>
      <w:r>
        <w:rPr>
          <w:spacing w:val="-2"/>
          <w:sz w:val="20"/>
        </w:rPr>
        <w:t xml:space="preserve"> </w:t>
      </w:r>
      <w:r>
        <w:rPr>
          <w:sz w:val="20"/>
        </w:rPr>
        <w:t>24</w:t>
      </w:r>
      <w:r>
        <w:rPr>
          <w:spacing w:val="-1"/>
          <w:sz w:val="20"/>
        </w:rPr>
        <w:t xml:space="preserve"> </w:t>
      </w:r>
      <w:r>
        <w:rPr>
          <w:sz w:val="20"/>
        </w:rPr>
        <w:t>(1</w:t>
      </w:r>
      <w:r>
        <w:rPr>
          <w:sz w:val="20"/>
          <w:vertAlign w:val="superscript"/>
        </w:rPr>
        <w:t>st</w:t>
      </w:r>
      <w:r>
        <w:rPr>
          <w:spacing w:val="-2"/>
          <w:sz w:val="20"/>
        </w:rPr>
        <w:t xml:space="preserve"> </w:t>
      </w:r>
      <w:r>
        <w:rPr>
          <w:sz w:val="20"/>
        </w:rPr>
        <w:t>Cir.</w:t>
      </w:r>
      <w:r>
        <w:rPr>
          <w:spacing w:val="-2"/>
          <w:sz w:val="20"/>
        </w:rPr>
        <w:t xml:space="preserve"> </w:t>
      </w:r>
      <w:r>
        <w:rPr>
          <w:sz w:val="20"/>
        </w:rPr>
        <w:t>2006)</w:t>
      </w:r>
      <w:r>
        <w:rPr>
          <w:spacing w:val="-2"/>
          <w:sz w:val="20"/>
        </w:rPr>
        <w:t xml:space="preserve"> </w:t>
      </w:r>
      <w:r>
        <w:rPr>
          <w:sz w:val="20"/>
        </w:rPr>
        <w:t>(noting</w:t>
      </w:r>
      <w:r>
        <w:rPr>
          <w:spacing w:val="-3"/>
          <w:sz w:val="20"/>
        </w:rPr>
        <w:t xml:space="preserve"> </w:t>
      </w:r>
      <w:r>
        <w:rPr>
          <w:sz w:val="20"/>
        </w:rPr>
        <w:t>that</w:t>
      </w:r>
      <w:r>
        <w:rPr>
          <w:spacing w:val="-2"/>
          <w:sz w:val="20"/>
        </w:rPr>
        <w:t xml:space="preserve"> </w:t>
      </w:r>
      <w:r>
        <w:rPr>
          <w:sz w:val="20"/>
        </w:rPr>
        <w:t>parties</w:t>
      </w:r>
      <w:r>
        <w:rPr>
          <w:spacing w:val="-3"/>
          <w:sz w:val="20"/>
        </w:rPr>
        <w:t xml:space="preserve"> </w:t>
      </w:r>
      <w:r>
        <w:rPr>
          <w:sz w:val="20"/>
        </w:rPr>
        <w:t>are obligated to object to expert testimony in a timely fashion, so that the expert’s proposed testimony</w:t>
      </w:r>
      <w:r>
        <w:rPr>
          <w:spacing w:val="-1"/>
          <w:sz w:val="20"/>
        </w:rPr>
        <w:t xml:space="preserve"> </w:t>
      </w:r>
      <w:r>
        <w:rPr>
          <w:sz w:val="20"/>
        </w:rPr>
        <w:t xml:space="preserve">can be evaluated with care); </w:t>
      </w:r>
      <w:r>
        <w:rPr>
          <w:i/>
          <w:sz w:val="20"/>
        </w:rPr>
        <w:t>Alfred v. Caterpillar Inc.</w:t>
      </w:r>
      <w:r>
        <w:rPr>
          <w:sz w:val="20"/>
        </w:rPr>
        <w:t>, 262 F. 3d 1083, 1087 (10</w:t>
      </w:r>
      <w:r>
        <w:rPr>
          <w:sz w:val="20"/>
          <w:vertAlign w:val="superscript"/>
        </w:rPr>
        <w:t>th</w:t>
      </w:r>
      <w:r>
        <w:rPr>
          <w:sz w:val="20"/>
        </w:rPr>
        <w:t xml:space="preserve"> Cir. 2001) (holding that because </w:t>
      </w:r>
      <w:r>
        <w:rPr>
          <w:i/>
          <w:sz w:val="20"/>
        </w:rPr>
        <w:t>Daubert</w:t>
      </w:r>
    </w:p>
    <w:p w14:paraId="56F89F2A" w14:textId="21DF76DC" w:rsidR="004F15EA" w:rsidRDefault="004F15EA" w:rsidP="004F15EA">
      <w:pPr>
        <w:pStyle w:val="FootnoteText"/>
      </w:pPr>
      <w:r>
        <w:t>“</w:t>
      </w:r>
      <w:proofErr w:type="gramStart"/>
      <w:r>
        <w:t>contemplates</w:t>
      </w:r>
      <w:proofErr w:type="gramEnd"/>
      <w:r>
        <w:rPr>
          <w:spacing w:val="-5"/>
        </w:rPr>
        <w:t xml:space="preserve"> </w:t>
      </w:r>
      <w:r>
        <w:t>a</w:t>
      </w:r>
      <w:r>
        <w:rPr>
          <w:spacing w:val="-4"/>
        </w:rPr>
        <w:t xml:space="preserve"> </w:t>
      </w:r>
      <w:r>
        <w:t>gatekeeping</w:t>
      </w:r>
      <w:r>
        <w:rPr>
          <w:spacing w:val="-2"/>
        </w:rPr>
        <w:t xml:space="preserve"> </w:t>
      </w:r>
      <w:r>
        <w:t>function,</w:t>
      </w:r>
      <w:r>
        <w:rPr>
          <w:spacing w:val="-4"/>
        </w:rPr>
        <w:t xml:space="preserve"> </w:t>
      </w:r>
      <w:r>
        <w:t>not</w:t>
      </w:r>
      <w:r>
        <w:rPr>
          <w:spacing w:val="-5"/>
        </w:rPr>
        <w:t xml:space="preserve"> </w:t>
      </w:r>
      <w:r>
        <w:t>a</w:t>
      </w:r>
      <w:r>
        <w:rPr>
          <w:spacing w:val="-4"/>
        </w:rPr>
        <w:t xml:space="preserve"> </w:t>
      </w:r>
      <w:r>
        <w:t>gotcha</w:t>
      </w:r>
      <w:r>
        <w:rPr>
          <w:spacing w:val="-4"/>
        </w:rPr>
        <w:t xml:space="preserve"> </w:t>
      </w:r>
      <w:r>
        <w:t>junction,”</w:t>
      </w:r>
      <w:r>
        <w:rPr>
          <w:spacing w:val="-4"/>
        </w:rPr>
        <w:t xml:space="preserve"> </w:t>
      </w:r>
      <w:r>
        <w:t>untimely</w:t>
      </w:r>
      <w:r>
        <w:rPr>
          <w:spacing w:val="-1"/>
        </w:rPr>
        <w:t xml:space="preserve"> </w:t>
      </w:r>
      <w:r>
        <w:rPr>
          <w:i/>
        </w:rPr>
        <w:t>Daubert</w:t>
      </w:r>
      <w:r>
        <w:rPr>
          <w:i/>
          <w:spacing w:val="-2"/>
        </w:rPr>
        <w:t xml:space="preserve"> </w:t>
      </w:r>
      <w:r>
        <w:t>motions</w:t>
      </w:r>
      <w:r>
        <w:rPr>
          <w:spacing w:val="-5"/>
        </w:rPr>
        <w:t xml:space="preserve"> </w:t>
      </w:r>
      <w:r>
        <w:t>should</w:t>
      </w:r>
      <w:r>
        <w:rPr>
          <w:spacing w:val="-3"/>
        </w:rPr>
        <w:t xml:space="preserve"> </w:t>
      </w:r>
      <w:r>
        <w:t>be</w:t>
      </w:r>
      <w:r>
        <w:rPr>
          <w:spacing w:val="-4"/>
        </w:rPr>
        <w:t xml:space="preserve"> </w:t>
      </w:r>
      <w:r>
        <w:t>considered</w:t>
      </w:r>
      <w:r>
        <w:rPr>
          <w:spacing w:val="-3"/>
        </w:rPr>
        <w:t xml:space="preserve"> </w:t>
      </w:r>
      <w:r>
        <w:t xml:space="preserve">only in rare circumstances); </w:t>
      </w:r>
      <w:r>
        <w:rPr>
          <w:i/>
        </w:rPr>
        <w:t>Club Car Inc. v. Club Care (Quebec) Import, Inc</w:t>
      </w:r>
      <w:r>
        <w:t>., 362 F. 3d 775, 780 (11</w:t>
      </w:r>
      <w:r>
        <w:rPr>
          <w:vertAlign w:val="superscript"/>
        </w:rPr>
        <w:t>th</w:t>
      </w:r>
      <w:r>
        <w:t xml:space="preserve"> Cir. 2004)</w:t>
      </w:r>
      <w:r w:rsidR="0067093A">
        <w:t xml:space="preserve"> (explaining that a </w:t>
      </w:r>
      <w:r w:rsidR="0067093A">
        <w:rPr>
          <w:i/>
        </w:rPr>
        <w:t xml:space="preserve">Daubert </w:t>
      </w:r>
      <w:r w:rsidR="0067093A">
        <w:t>objection not raised before trial may be rejected as untimely).</w:t>
      </w:r>
    </w:p>
  </w:footnote>
  <w:footnote w:id="7">
    <w:p w14:paraId="4AC7144A" w14:textId="2DD20F3E" w:rsidR="0067093A" w:rsidRDefault="0067093A">
      <w:pPr>
        <w:pStyle w:val="FootnoteText"/>
      </w:pPr>
      <w:r>
        <w:rPr>
          <w:rStyle w:val="FootnoteReference"/>
        </w:rPr>
        <w:footnoteRef/>
      </w:r>
      <w:r>
        <w:t xml:space="preserve"> </w:t>
      </w:r>
      <w:r>
        <w:rPr>
          <w:i/>
        </w:rPr>
        <w:t>See</w:t>
      </w:r>
      <w:r>
        <w:rPr>
          <w:i/>
          <w:spacing w:val="-2"/>
        </w:rPr>
        <w:t xml:space="preserve"> </w:t>
      </w:r>
      <w:r>
        <w:rPr>
          <w:i/>
        </w:rPr>
        <w:t>Booker</w:t>
      </w:r>
      <w:r>
        <w:t>,</w:t>
      </w:r>
      <w:r>
        <w:rPr>
          <w:spacing w:val="-4"/>
        </w:rPr>
        <w:t xml:space="preserve"> </w:t>
      </w:r>
      <w:r>
        <w:t>166</w:t>
      </w:r>
      <w:r>
        <w:rPr>
          <w:spacing w:val="-3"/>
        </w:rPr>
        <w:t xml:space="preserve"> </w:t>
      </w:r>
      <w:r>
        <w:t>So.</w:t>
      </w:r>
      <w:r>
        <w:rPr>
          <w:spacing w:val="-2"/>
        </w:rPr>
        <w:t xml:space="preserve"> </w:t>
      </w:r>
      <w:r>
        <w:t>3d</w:t>
      </w:r>
      <w:r>
        <w:rPr>
          <w:spacing w:val="-2"/>
        </w:rPr>
        <w:t xml:space="preserve"> </w:t>
      </w:r>
      <w:r>
        <w:t>at</w:t>
      </w:r>
      <w:r>
        <w:rPr>
          <w:spacing w:val="-2"/>
        </w:rPr>
        <w:t xml:space="preserve"> </w:t>
      </w:r>
      <w:r>
        <w:rPr>
          <w:spacing w:val="-4"/>
        </w:rPr>
        <w:t>193.</w:t>
      </w:r>
    </w:p>
  </w:footnote>
  <w:footnote w:id="8">
    <w:p w14:paraId="302D7287" w14:textId="3AE897CD" w:rsidR="00DD6659" w:rsidRDefault="00DD6659">
      <w:pPr>
        <w:pStyle w:val="FootnoteText"/>
      </w:pPr>
      <w:r>
        <w:rPr>
          <w:rStyle w:val="FootnoteReference"/>
        </w:rPr>
        <w:footnoteRef/>
      </w:r>
      <w:r>
        <w:t xml:space="preserve"> </w:t>
      </w:r>
      <w:r>
        <w:rPr>
          <w:i/>
        </w:rPr>
        <w:t>See</w:t>
      </w:r>
      <w:r>
        <w:rPr>
          <w:i/>
          <w:spacing w:val="-1"/>
        </w:rPr>
        <w:t xml:space="preserve"> </w:t>
      </w:r>
      <w:r>
        <w:rPr>
          <w:i/>
        </w:rPr>
        <w:t>id.</w:t>
      </w:r>
      <w:r>
        <w:t>;</w:t>
      </w:r>
      <w:r>
        <w:rPr>
          <w:spacing w:val="-2"/>
        </w:rPr>
        <w:t xml:space="preserve"> </w:t>
      </w:r>
      <w:r>
        <w:rPr>
          <w:i/>
        </w:rPr>
        <w:t>Tanner</w:t>
      </w:r>
      <w:r>
        <w:rPr>
          <w:i/>
          <w:spacing w:val="-3"/>
        </w:rPr>
        <w:t xml:space="preserve"> </w:t>
      </w:r>
      <w:r>
        <w:rPr>
          <w:i/>
        </w:rPr>
        <w:t>v.</w:t>
      </w:r>
      <w:r>
        <w:rPr>
          <w:i/>
          <w:spacing w:val="-2"/>
        </w:rPr>
        <w:t xml:space="preserve"> </w:t>
      </w:r>
      <w:r>
        <w:rPr>
          <w:i/>
        </w:rPr>
        <w:t>Westbrook</w:t>
      </w:r>
      <w:r>
        <w:t>, 174</w:t>
      </w:r>
      <w:r>
        <w:rPr>
          <w:spacing w:val="-1"/>
        </w:rPr>
        <w:t xml:space="preserve"> </w:t>
      </w:r>
      <w:r>
        <w:t>F.</w:t>
      </w:r>
      <w:r>
        <w:rPr>
          <w:spacing w:val="-4"/>
        </w:rPr>
        <w:t xml:space="preserve"> </w:t>
      </w:r>
      <w:r>
        <w:t>3d</w:t>
      </w:r>
      <w:r>
        <w:rPr>
          <w:spacing w:val="-1"/>
        </w:rPr>
        <w:t xml:space="preserve"> </w:t>
      </w:r>
      <w:r>
        <w:t>542,</w:t>
      </w:r>
      <w:r>
        <w:rPr>
          <w:spacing w:val="-4"/>
        </w:rPr>
        <w:t xml:space="preserve"> </w:t>
      </w:r>
      <w:r>
        <w:t>546</w:t>
      </w:r>
      <w:r>
        <w:rPr>
          <w:spacing w:val="-3"/>
        </w:rPr>
        <w:t xml:space="preserve"> </w:t>
      </w:r>
      <w:r>
        <w:t>(5</w:t>
      </w:r>
      <w:r>
        <w:rPr>
          <w:vertAlign w:val="superscript"/>
        </w:rPr>
        <w:t>th</w:t>
      </w:r>
      <w:r>
        <w:rPr>
          <w:spacing w:val="-2"/>
        </w:rPr>
        <w:t xml:space="preserve"> </w:t>
      </w:r>
      <w:r>
        <w:t>Cir.</w:t>
      </w:r>
      <w:r>
        <w:rPr>
          <w:spacing w:val="-2"/>
        </w:rPr>
        <w:t xml:space="preserve"> </w:t>
      </w:r>
      <w:r>
        <w:t>1999),</w:t>
      </w:r>
      <w:r>
        <w:rPr>
          <w:spacing w:val="-2"/>
        </w:rPr>
        <w:t xml:space="preserve"> </w:t>
      </w:r>
      <w:r>
        <w:rPr>
          <w:i/>
        </w:rPr>
        <w:t>superseded in</w:t>
      </w:r>
      <w:r>
        <w:rPr>
          <w:i/>
          <w:spacing w:val="-1"/>
        </w:rPr>
        <w:t xml:space="preserve"> </w:t>
      </w:r>
      <w:r>
        <w:rPr>
          <w:i/>
        </w:rPr>
        <w:t>part</w:t>
      </w:r>
      <w:r>
        <w:rPr>
          <w:i/>
          <w:spacing w:val="-3"/>
        </w:rPr>
        <w:t xml:space="preserve"> </w:t>
      </w:r>
      <w:r>
        <w:rPr>
          <w:i/>
        </w:rPr>
        <w:t>by</w:t>
      </w:r>
      <w:r>
        <w:rPr>
          <w:i/>
          <w:spacing w:val="-2"/>
        </w:rPr>
        <w:t xml:space="preserve"> </w:t>
      </w:r>
      <w:r>
        <w:rPr>
          <w:i/>
        </w:rPr>
        <w:t>rule</w:t>
      </w:r>
      <w:r>
        <w:rPr>
          <w:i/>
          <w:spacing w:val="-2"/>
        </w:rPr>
        <w:t xml:space="preserve"> </w:t>
      </w:r>
      <w:r>
        <w:rPr>
          <w:i/>
        </w:rPr>
        <w:t>on</w:t>
      </w:r>
      <w:r>
        <w:rPr>
          <w:i/>
          <w:spacing w:val="-1"/>
        </w:rPr>
        <w:t xml:space="preserve"> </w:t>
      </w:r>
      <w:r>
        <w:rPr>
          <w:i/>
        </w:rPr>
        <w:t>other</w:t>
      </w:r>
      <w:r>
        <w:rPr>
          <w:i/>
          <w:spacing w:val="-3"/>
        </w:rPr>
        <w:t xml:space="preserve"> </w:t>
      </w:r>
      <w:r>
        <w:rPr>
          <w:i/>
        </w:rPr>
        <w:t>grounds</w:t>
      </w:r>
      <w:r>
        <w:rPr>
          <w:i/>
          <w:spacing w:val="-3"/>
        </w:rPr>
        <w:t xml:space="preserve"> </w:t>
      </w:r>
      <w:r>
        <w:rPr>
          <w:i/>
        </w:rPr>
        <w:t>in Mathias v. Exxon Corp.</w:t>
      </w:r>
      <w:r>
        <w:t>, 302 F. 3d 448, 459 n. 16 (5</w:t>
      </w:r>
      <w:r>
        <w:rPr>
          <w:vertAlign w:val="superscript"/>
        </w:rPr>
        <w:t>th</w:t>
      </w:r>
      <w:r>
        <w:t xml:space="preserve"> Cir. 2002).</w:t>
      </w:r>
    </w:p>
  </w:footnote>
  <w:footnote w:id="9">
    <w:p w14:paraId="696F6705" w14:textId="45805652" w:rsidR="00DD6659" w:rsidRDefault="00DD6659">
      <w:pPr>
        <w:pStyle w:val="FootnoteText"/>
      </w:pPr>
      <w:r>
        <w:rPr>
          <w:rStyle w:val="FootnoteReference"/>
        </w:rPr>
        <w:footnoteRef/>
      </w:r>
      <w:r>
        <w:t xml:space="preserve"> </w:t>
      </w:r>
      <w:r>
        <w:rPr>
          <w:i/>
        </w:rPr>
        <w:t>Booker</w:t>
      </w:r>
      <w:r>
        <w:t>,</w:t>
      </w:r>
      <w:r>
        <w:rPr>
          <w:spacing w:val="-2"/>
        </w:rPr>
        <w:t xml:space="preserve"> </w:t>
      </w:r>
      <w:r>
        <w:t>166</w:t>
      </w:r>
      <w:r>
        <w:rPr>
          <w:spacing w:val="-2"/>
        </w:rPr>
        <w:t xml:space="preserve"> </w:t>
      </w:r>
      <w:r>
        <w:t>So.</w:t>
      </w:r>
      <w:r>
        <w:rPr>
          <w:spacing w:val="-4"/>
        </w:rPr>
        <w:t xml:space="preserve"> </w:t>
      </w:r>
      <w:r>
        <w:t>3d</w:t>
      </w:r>
      <w:r>
        <w:rPr>
          <w:spacing w:val="-1"/>
        </w:rPr>
        <w:t xml:space="preserve"> </w:t>
      </w:r>
      <w:r>
        <w:t>at</w:t>
      </w:r>
      <w:r>
        <w:rPr>
          <w:spacing w:val="-2"/>
        </w:rPr>
        <w:t xml:space="preserve"> </w:t>
      </w:r>
      <w:r>
        <w:rPr>
          <w:spacing w:val="-4"/>
        </w:rPr>
        <w:t>193.</w:t>
      </w:r>
    </w:p>
  </w:footnote>
  <w:footnote w:id="10">
    <w:p w14:paraId="0404AD4F" w14:textId="5F7576D1" w:rsidR="00DD6659" w:rsidRDefault="00DD6659">
      <w:pPr>
        <w:pStyle w:val="FootnoteText"/>
      </w:pPr>
      <w:r>
        <w:rPr>
          <w:rStyle w:val="FootnoteReference"/>
        </w:rPr>
        <w:footnoteRef/>
      </w:r>
      <w:r>
        <w:t xml:space="preserve"> </w:t>
      </w:r>
      <w:proofErr w:type="gramStart"/>
      <w:r>
        <w:rPr>
          <w:i/>
        </w:rPr>
        <w:t>Id.</w:t>
      </w:r>
      <w:r>
        <w:t>;</w:t>
      </w:r>
      <w:proofErr w:type="gramEnd"/>
      <w:r>
        <w:rPr>
          <w:spacing w:val="-3"/>
        </w:rPr>
        <w:t xml:space="preserve"> </w:t>
      </w:r>
      <w:r>
        <w:rPr>
          <w:i/>
        </w:rPr>
        <w:t>See</w:t>
      </w:r>
      <w:r>
        <w:rPr>
          <w:i/>
          <w:spacing w:val="-4"/>
        </w:rPr>
        <w:t xml:space="preserve"> </w:t>
      </w:r>
      <w:r>
        <w:rPr>
          <w:i/>
        </w:rPr>
        <w:t>also</w:t>
      </w:r>
      <w:r>
        <w:rPr>
          <w:i/>
          <w:spacing w:val="-1"/>
        </w:rPr>
        <w:t xml:space="preserve"> </w:t>
      </w:r>
      <w:r>
        <w:rPr>
          <w:i/>
        </w:rPr>
        <w:t>Rushing</w:t>
      </w:r>
      <w:r>
        <w:rPr>
          <w:i/>
          <w:spacing w:val="-3"/>
        </w:rPr>
        <w:t xml:space="preserve"> </w:t>
      </w:r>
      <w:r>
        <w:rPr>
          <w:i/>
        </w:rPr>
        <w:t>v.</w:t>
      </w:r>
      <w:r>
        <w:rPr>
          <w:i/>
          <w:spacing w:val="-2"/>
        </w:rPr>
        <w:t xml:space="preserve"> </w:t>
      </w:r>
      <w:r>
        <w:rPr>
          <w:i/>
        </w:rPr>
        <w:t>Kansas</w:t>
      </w:r>
      <w:r>
        <w:rPr>
          <w:i/>
          <w:spacing w:val="-3"/>
        </w:rPr>
        <w:t xml:space="preserve"> </w:t>
      </w:r>
      <w:r>
        <w:rPr>
          <w:i/>
        </w:rPr>
        <w:t>City</w:t>
      </w:r>
      <w:r>
        <w:rPr>
          <w:i/>
          <w:spacing w:val="-3"/>
        </w:rPr>
        <w:t xml:space="preserve"> </w:t>
      </w:r>
      <w:r>
        <w:rPr>
          <w:i/>
        </w:rPr>
        <w:t>Ry.,</w:t>
      </w:r>
      <w:r>
        <w:rPr>
          <w:i/>
          <w:spacing w:val="-2"/>
        </w:rPr>
        <w:t xml:space="preserve"> </w:t>
      </w:r>
      <w:r>
        <w:t>185</w:t>
      </w:r>
      <w:r>
        <w:rPr>
          <w:spacing w:val="-2"/>
        </w:rPr>
        <w:t xml:space="preserve"> </w:t>
      </w:r>
      <w:r>
        <w:t>F</w:t>
      </w:r>
      <w:r>
        <w:rPr>
          <w:i/>
        </w:rPr>
        <w:t>.</w:t>
      </w:r>
      <w:r>
        <w:rPr>
          <w:i/>
          <w:spacing w:val="-2"/>
        </w:rPr>
        <w:t xml:space="preserve"> </w:t>
      </w:r>
      <w:r>
        <w:t>3d</w:t>
      </w:r>
      <w:r>
        <w:rPr>
          <w:spacing w:val="-2"/>
        </w:rPr>
        <w:t xml:space="preserve"> </w:t>
      </w:r>
      <w:r>
        <w:t>496,</w:t>
      </w:r>
      <w:r>
        <w:rPr>
          <w:spacing w:val="-4"/>
        </w:rPr>
        <w:t xml:space="preserve"> </w:t>
      </w:r>
      <w:r>
        <w:t>506</w:t>
      </w:r>
      <w:r>
        <w:rPr>
          <w:spacing w:val="-2"/>
        </w:rPr>
        <w:t xml:space="preserve"> </w:t>
      </w:r>
      <w:r>
        <w:t>(5</w:t>
      </w:r>
      <w:r>
        <w:rPr>
          <w:vertAlign w:val="superscript"/>
        </w:rPr>
        <w:t>th</w:t>
      </w:r>
      <w:r>
        <w:rPr>
          <w:spacing w:val="-3"/>
        </w:rPr>
        <w:t xml:space="preserve"> </w:t>
      </w:r>
      <w:r>
        <w:t>Cir.</w:t>
      </w:r>
      <w:r>
        <w:rPr>
          <w:spacing w:val="-3"/>
        </w:rPr>
        <w:t xml:space="preserve"> </w:t>
      </w:r>
      <w:r>
        <w:t>1999),</w:t>
      </w:r>
      <w:r>
        <w:rPr>
          <w:spacing w:val="-1"/>
        </w:rPr>
        <w:t xml:space="preserve"> </w:t>
      </w:r>
      <w:r>
        <w:rPr>
          <w:i/>
        </w:rPr>
        <w:t>superseded</w:t>
      </w:r>
      <w:r>
        <w:rPr>
          <w:i/>
          <w:spacing w:val="-2"/>
        </w:rPr>
        <w:t xml:space="preserve"> </w:t>
      </w:r>
      <w:r>
        <w:rPr>
          <w:i/>
        </w:rPr>
        <w:t>by</w:t>
      </w:r>
      <w:r>
        <w:rPr>
          <w:i/>
          <w:spacing w:val="-3"/>
        </w:rPr>
        <w:t xml:space="preserve"> </w:t>
      </w:r>
      <w:r>
        <w:rPr>
          <w:i/>
        </w:rPr>
        <w:t>statute</w:t>
      </w:r>
      <w:r>
        <w:rPr>
          <w:i/>
          <w:spacing w:val="-3"/>
        </w:rPr>
        <w:t xml:space="preserve"> </w:t>
      </w:r>
      <w:r>
        <w:rPr>
          <w:i/>
        </w:rPr>
        <w:t>on</w:t>
      </w:r>
      <w:r>
        <w:rPr>
          <w:i/>
          <w:spacing w:val="-2"/>
        </w:rPr>
        <w:t xml:space="preserve"> </w:t>
      </w:r>
      <w:r>
        <w:rPr>
          <w:i/>
        </w:rPr>
        <w:t>another ground as noted in Mathias</w:t>
      </w:r>
      <w:r>
        <w:t>, 302 F. 3d at 459 n. 16.</w:t>
      </w:r>
    </w:p>
  </w:footnote>
  <w:footnote w:id="11">
    <w:p w14:paraId="58E11BD1" w14:textId="110AC66C" w:rsidR="000F71F0" w:rsidRDefault="000F71F0">
      <w:pPr>
        <w:pStyle w:val="FootnoteText"/>
      </w:pPr>
      <w:r>
        <w:rPr>
          <w:rStyle w:val="FootnoteReference"/>
        </w:rPr>
        <w:footnoteRef/>
      </w:r>
      <w:r>
        <w:t xml:space="preserve"> </w:t>
      </w:r>
      <w:r>
        <w:rPr>
          <w:i/>
        </w:rPr>
        <w:t>Booker</w:t>
      </w:r>
      <w:r>
        <w:t>,</w:t>
      </w:r>
      <w:r>
        <w:rPr>
          <w:spacing w:val="-2"/>
        </w:rPr>
        <w:t xml:space="preserve"> </w:t>
      </w:r>
      <w:r>
        <w:t>166</w:t>
      </w:r>
      <w:r>
        <w:rPr>
          <w:spacing w:val="-2"/>
        </w:rPr>
        <w:t xml:space="preserve"> </w:t>
      </w:r>
      <w:r>
        <w:t>So.</w:t>
      </w:r>
      <w:r>
        <w:rPr>
          <w:spacing w:val="-4"/>
        </w:rPr>
        <w:t xml:space="preserve"> </w:t>
      </w:r>
      <w:r>
        <w:t>3d</w:t>
      </w:r>
      <w:r>
        <w:rPr>
          <w:spacing w:val="-2"/>
        </w:rPr>
        <w:t xml:space="preserve"> </w:t>
      </w:r>
      <w:r>
        <w:t>at</w:t>
      </w:r>
      <w:r>
        <w:rPr>
          <w:spacing w:val="-2"/>
        </w:rPr>
        <w:t xml:space="preserve"> </w:t>
      </w:r>
      <w:r>
        <w:rPr>
          <w:spacing w:val="-4"/>
        </w:rPr>
        <w:t>193.</w:t>
      </w:r>
    </w:p>
  </w:footnote>
  <w:footnote w:id="12">
    <w:p w14:paraId="51C2D4D4" w14:textId="24BB827E" w:rsidR="000F71F0" w:rsidRDefault="000F71F0">
      <w:pPr>
        <w:pStyle w:val="FootnoteText"/>
      </w:pPr>
      <w:r>
        <w:rPr>
          <w:rStyle w:val="FootnoteReference"/>
        </w:rPr>
        <w:footnoteRef/>
      </w:r>
      <w:r>
        <w:t xml:space="preserve"> 4</w:t>
      </w:r>
      <w:r>
        <w:rPr>
          <w:spacing w:val="-5"/>
        </w:rPr>
        <w:t xml:space="preserve"> </w:t>
      </w:r>
      <w:r>
        <w:t>Weinstein’s</w:t>
      </w:r>
      <w:r>
        <w:rPr>
          <w:spacing w:val="-3"/>
        </w:rPr>
        <w:t xml:space="preserve"> </w:t>
      </w:r>
      <w:r>
        <w:t>Federal</w:t>
      </w:r>
      <w:r>
        <w:rPr>
          <w:spacing w:val="-5"/>
        </w:rPr>
        <w:t xml:space="preserve"> </w:t>
      </w:r>
      <w:r>
        <w:t>Evidence</w:t>
      </w:r>
      <w:r>
        <w:rPr>
          <w:spacing w:val="-4"/>
        </w:rPr>
        <w:t xml:space="preserve"> </w:t>
      </w:r>
      <w:r>
        <w:rPr>
          <w:spacing w:val="-2"/>
        </w:rPr>
        <w:t>§702.03(1).</w:t>
      </w:r>
    </w:p>
  </w:footnote>
  <w:footnote w:id="13">
    <w:p w14:paraId="08C30984" w14:textId="03284315" w:rsidR="008E0A69" w:rsidRDefault="008E0A69">
      <w:pPr>
        <w:pStyle w:val="FootnoteText"/>
      </w:pPr>
      <w:r>
        <w:rPr>
          <w:rStyle w:val="FootnoteReference"/>
        </w:rPr>
        <w:footnoteRef/>
      </w:r>
      <w:r>
        <w:t xml:space="preserve"> Fla.</w:t>
      </w:r>
      <w:r>
        <w:rPr>
          <w:spacing w:val="-3"/>
        </w:rPr>
        <w:t xml:space="preserve"> </w:t>
      </w:r>
      <w:r>
        <w:t>Stat.</w:t>
      </w:r>
      <w:r>
        <w:rPr>
          <w:spacing w:val="-2"/>
        </w:rPr>
        <w:t xml:space="preserve"> §90.702.</w:t>
      </w:r>
    </w:p>
  </w:footnote>
  <w:footnote w:id="14">
    <w:p w14:paraId="31B1FCF5" w14:textId="44D95599" w:rsidR="008E0A69" w:rsidRDefault="008E0A69">
      <w:pPr>
        <w:pStyle w:val="FootnoteText"/>
      </w:pPr>
      <w:r>
        <w:rPr>
          <w:rStyle w:val="FootnoteReference"/>
        </w:rPr>
        <w:footnoteRef/>
      </w:r>
      <w:r>
        <w:t xml:space="preserve"> Fed.</w:t>
      </w:r>
      <w:r>
        <w:rPr>
          <w:spacing w:val="-3"/>
        </w:rPr>
        <w:t xml:space="preserve"> </w:t>
      </w:r>
      <w:r>
        <w:t>R.</w:t>
      </w:r>
      <w:r>
        <w:rPr>
          <w:spacing w:val="-3"/>
        </w:rPr>
        <w:t xml:space="preserve"> </w:t>
      </w:r>
      <w:r>
        <w:t>Evid.</w:t>
      </w:r>
      <w:r>
        <w:rPr>
          <w:spacing w:val="-3"/>
        </w:rPr>
        <w:t xml:space="preserve"> </w:t>
      </w:r>
      <w:r>
        <w:rPr>
          <w:spacing w:val="-4"/>
        </w:rPr>
        <w:t>702.</w:t>
      </w:r>
    </w:p>
  </w:footnote>
  <w:footnote w:id="15">
    <w:p w14:paraId="7E3162AA" w14:textId="29007751" w:rsidR="00564864" w:rsidRDefault="00564864">
      <w:pPr>
        <w:pStyle w:val="FootnoteText"/>
      </w:pPr>
      <w:r>
        <w:rPr>
          <w:rStyle w:val="FootnoteReference"/>
        </w:rPr>
        <w:footnoteRef/>
      </w:r>
      <w:r>
        <w:t xml:space="preserve"> Fla.</w:t>
      </w:r>
      <w:r>
        <w:rPr>
          <w:spacing w:val="-3"/>
        </w:rPr>
        <w:t xml:space="preserve"> </w:t>
      </w:r>
      <w:r>
        <w:t>Stat.</w:t>
      </w:r>
      <w:r>
        <w:rPr>
          <w:spacing w:val="-2"/>
        </w:rPr>
        <w:t xml:space="preserve"> §90.702(a).</w:t>
      </w:r>
    </w:p>
  </w:footnote>
  <w:footnote w:id="16">
    <w:p w14:paraId="19C2115F" w14:textId="0EE72B17" w:rsidR="004466DB" w:rsidRDefault="004466DB">
      <w:pPr>
        <w:pStyle w:val="FootnoteText"/>
      </w:pPr>
      <w:r>
        <w:rPr>
          <w:rStyle w:val="FootnoteReference"/>
        </w:rPr>
        <w:footnoteRef/>
      </w:r>
      <w:r>
        <w:t xml:space="preserve"> </w:t>
      </w:r>
      <w:r>
        <w:rPr>
          <w:i/>
        </w:rPr>
        <w:t>See</w:t>
      </w:r>
      <w:r>
        <w:rPr>
          <w:i/>
          <w:spacing w:val="-2"/>
        </w:rPr>
        <w:t xml:space="preserve"> </w:t>
      </w:r>
      <w:r>
        <w:rPr>
          <w:i/>
        </w:rPr>
        <w:t>Daubert</w:t>
      </w:r>
      <w:r>
        <w:t>,</w:t>
      </w:r>
      <w:r>
        <w:rPr>
          <w:spacing w:val="-4"/>
        </w:rPr>
        <w:t xml:space="preserve"> </w:t>
      </w:r>
      <w:r>
        <w:t>509</w:t>
      </w:r>
      <w:r>
        <w:rPr>
          <w:spacing w:val="-2"/>
        </w:rPr>
        <w:t xml:space="preserve"> </w:t>
      </w:r>
      <w:r>
        <w:t>U.S.</w:t>
      </w:r>
      <w:r>
        <w:rPr>
          <w:spacing w:val="-3"/>
        </w:rPr>
        <w:t xml:space="preserve"> </w:t>
      </w:r>
      <w:r>
        <w:t>at</w:t>
      </w:r>
      <w:r>
        <w:rPr>
          <w:spacing w:val="-4"/>
        </w:rPr>
        <w:t xml:space="preserve"> </w:t>
      </w:r>
      <w:r>
        <w:t>591-</w:t>
      </w:r>
      <w:r>
        <w:rPr>
          <w:spacing w:val="-4"/>
        </w:rPr>
        <w:t>592.</w:t>
      </w:r>
    </w:p>
  </w:footnote>
  <w:footnote w:id="17">
    <w:p w14:paraId="366867EA" w14:textId="70283D19" w:rsidR="004466DB" w:rsidRDefault="004466DB">
      <w:pPr>
        <w:pStyle w:val="FootnoteText"/>
      </w:pPr>
      <w:r>
        <w:rPr>
          <w:rStyle w:val="FootnoteReference"/>
        </w:rPr>
        <w:footnoteRef/>
      </w:r>
      <w:r>
        <w:t xml:space="preserve"> </w:t>
      </w:r>
      <w:r>
        <w:rPr>
          <w:i/>
        </w:rPr>
        <w:t>Allison</w:t>
      </w:r>
      <w:r>
        <w:t>,</w:t>
      </w:r>
      <w:r>
        <w:rPr>
          <w:spacing w:val="-3"/>
        </w:rPr>
        <w:t xml:space="preserve"> </w:t>
      </w:r>
      <w:r>
        <w:t>184</w:t>
      </w:r>
      <w:r>
        <w:rPr>
          <w:spacing w:val="-4"/>
        </w:rPr>
        <w:t xml:space="preserve"> </w:t>
      </w:r>
      <w:r>
        <w:t>F.</w:t>
      </w:r>
      <w:r>
        <w:rPr>
          <w:spacing w:val="-3"/>
        </w:rPr>
        <w:t xml:space="preserve"> </w:t>
      </w:r>
      <w:r>
        <w:t>3d</w:t>
      </w:r>
      <w:r>
        <w:rPr>
          <w:spacing w:val="-2"/>
        </w:rPr>
        <w:t xml:space="preserve"> </w:t>
      </w:r>
      <w:r>
        <w:t>at</w:t>
      </w:r>
      <w:r>
        <w:rPr>
          <w:spacing w:val="-5"/>
        </w:rPr>
        <w:t xml:space="preserve"> </w:t>
      </w:r>
      <w:r>
        <w:t>1312</w:t>
      </w:r>
      <w:r>
        <w:rPr>
          <w:spacing w:val="-2"/>
        </w:rPr>
        <w:t xml:space="preserve"> </w:t>
      </w:r>
      <w:r>
        <w:t>(citing</w:t>
      </w:r>
      <w:r>
        <w:rPr>
          <w:spacing w:val="2"/>
        </w:rPr>
        <w:t xml:space="preserve"> </w:t>
      </w:r>
      <w:r>
        <w:rPr>
          <w:i/>
        </w:rPr>
        <w:t>Daubert</w:t>
      </w:r>
      <w:r>
        <w:t>,</w:t>
      </w:r>
      <w:r>
        <w:rPr>
          <w:spacing w:val="-3"/>
        </w:rPr>
        <w:t xml:space="preserve"> </w:t>
      </w:r>
      <w:r>
        <w:t>509</w:t>
      </w:r>
      <w:r>
        <w:rPr>
          <w:spacing w:val="-2"/>
        </w:rPr>
        <w:t xml:space="preserve"> </w:t>
      </w:r>
      <w:r>
        <w:t>U.S.</w:t>
      </w:r>
      <w:r>
        <w:rPr>
          <w:spacing w:val="-3"/>
        </w:rPr>
        <w:t xml:space="preserve"> </w:t>
      </w:r>
      <w:r>
        <w:t>at</w:t>
      </w:r>
      <w:r>
        <w:rPr>
          <w:spacing w:val="-5"/>
        </w:rPr>
        <w:t xml:space="preserve"> </w:t>
      </w:r>
      <w:r>
        <w:rPr>
          <w:spacing w:val="-4"/>
        </w:rPr>
        <w:t>591).</w:t>
      </w:r>
    </w:p>
  </w:footnote>
  <w:footnote w:id="18">
    <w:p w14:paraId="10737CC7" w14:textId="7148A96B" w:rsidR="0089557D" w:rsidRDefault="0089557D">
      <w:pPr>
        <w:pStyle w:val="FootnoteText"/>
      </w:pPr>
      <w:r>
        <w:rPr>
          <w:rStyle w:val="FootnoteReference"/>
        </w:rPr>
        <w:footnoteRef/>
      </w:r>
      <w:r>
        <w:t xml:space="preserve"> </w:t>
      </w:r>
      <w:r>
        <w:rPr>
          <w:i/>
        </w:rPr>
        <w:t>See</w:t>
      </w:r>
      <w:r>
        <w:rPr>
          <w:i/>
          <w:spacing w:val="-1"/>
        </w:rPr>
        <w:t xml:space="preserve"> </w:t>
      </w:r>
      <w:r>
        <w:rPr>
          <w:i/>
        </w:rPr>
        <w:t>Gen.</w:t>
      </w:r>
      <w:r>
        <w:rPr>
          <w:i/>
          <w:spacing w:val="-3"/>
        </w:rPr>
        <w:t xml:space="preserve"> </w:t>
      </w:r>
      <w:r>
        <w:rPr>
          <w:i/>
        </w:rPr>
        <w:t>Elec.</w:t>
      </w:r>
      <w:r>
        <w:rPr>
          <w:i/>
          <w:spacing w:val="-1"/>
        </w:rPr>
        <w:t xml:space="preserve"> </w:t>
      </w:r>
      <w:r>
        <w:rPr>
          <w:i/>
        </w:rPr>
        <w:t>Co.</w:t>
      </w:r>
      <w:r>
        <w:rPr>
          <w:i/>
          <w:spacing w:val="-4"/>
        </w:rPr>
        <w:t xml:space="preserve"> </w:t>
      </w:r>
      <w:r>
        <w:rPr>
          <w:i/>
        </w:rPr>
        <w:t>v.</w:t>
      </w:r>
      <w:r>
        <w:rPr>
          <w:i/>
          <w:spacing w:val="-2"/>
        </w:rPr>
        <w:t xml:space="preserve"> </w:t>
      </w:r>
      <w:r>
        <w:rPr>
          <w:i/>
        </w:rPr>
        <w:t>Joiner</w:t>
      </w:r>
      <w:r>
        <w:t>,</w:t>
      </w:r>
      <w:r>
        <w:rPr>
          <w:spacing w:val="-4"/>
        </w:rPr>
        <w:t xml:space="preserve"> </w:t>
      </w:r>
      <w:r>
        <w:t>522</w:t>
      </w:r>
      <w:r>
        <w:rPr>
          <w:spacing w:val="-1"/>
        </w:rPr>
        <w:t xml:space="preserve"> </w:t>
      </w:r>
      <w:r>
        <w:t>U.S.</w:t>
      </w:r>
      <w:r>
        <w:rPr>
          <w:spacing w:val="-3"/>
        </w:rPr>
        <w:t xml:space="preserve"> </w:t>
      </w:r>
      <w:r>
        <w:t>136,</w:t>
      </w:r>
      <w:r>
        <w:rPr>
          <w:spacing w:val="-4"/>
        </w:rPr>
        <w:t xml:space="preserve"> </w:t>
      </w:r>
      <w:r>
        <w:t>146</w:t>
      </w:r>
      <w:r>
        <w:rPr>
          <w:spacing w:val="-3"/>
        </w:rPr>
        <w:t xml:space="preserve"> </w:t>
      </w:r>
      <w:r>
        <w:rPr>
          <w:spacing w:val="-2"/>
        </w:rPr>
        <w:t>(1997).</w:t>
      </w:r>
    </w:p>
  </w:footnote>
  <w:footnote w:id="19">
    <w:p w14:paraId="240E2227" w14:textId="6FFF5197" w:rsidR="0089557D" w:rsidRDefault="0089557D">
      <w:pPr>
        <w:pStyle w:val="FootnoteText"/>
      </w:pPr>
      <w:r>
        <w:rPr>
          <w:rStyle w:val="FootnoteReference"/>
        </w:rPr>
        <w:footnoteRef/>
      </w:r>
      <w:r>
        <w:t xml:space="preserve"> </w:t>
      </w:r>
      <w:r>
        <w:rPr>
          <w:i/>
          <w:spacing w:val="-5"/>
        </w:rPr>
        <w:t>Id.</w:t>
      </w:r>
    </w:p>
  </w:footnote>
  <w:footnote w:id="20">
    <w:p w14:paraId="29E342F9" w14:textId="150267FA" w:rsidR="008C6E3D" w:rsidRDefault="008C6E3D">
      <w:pPr>
        <w:pStyle w:val="FootnoteText"/>
      </w:pPr>
      <w:r>
        <w:rPr>
          <w:rStyle w:val="FootnoteReference"/>
        </w:rPr>
        <w:footnoteRef/>
      </w:r>
      <w:r>
        <w:t xml:space="preserve"> </w:t>
      </w:r>
      <w:r>
        <w:rPr>
          <w:i/>
        </w:rPr>
        <w:t>Daubert</w:t>
      </w:r>
      <w:r>
        <w:t>,</w:t>
      </w:r>
      <w:r>
        <w:rPr>
          <w:spacing w:val="-3"/>
        </w:rPr>
        <w:t xml:space="preserve"> </w:t>
      </w:r>
      <w:r>
        <w:t>509</w:t>
      </w:r>
      <w:r>
        <w:rPr>
          <w:spacing w:val="-2"/>
        </w:rPr>
        <w:t xml:space="preserve"> </w:t>
      </w:r>
      <w:r>
        <w:t>U.S.</w:t>
      </w:r>
      <w:r>
        <w:rPr>
          <w:spacing w:val="-3"/>
        </w:rPr>
        <w:t xml:space="preserve"> </w:t>
      </w:r>
      <w:r>
        <w:t>at</w:t>
      </w:r>
      <w:r>
        <w:rPr>
          <w:spacing w:val="-3"/>
        </w:rPr>
        <w:t xml:space="preserve"> </w:t>
      </w:r>
      <w:r>
        <w:rPr>
          <w:spacing w:val="-4"/>
        </w:rPr>
        <w:t>591.</w:t>
      </w:r>
    </w:p>
  </w:footnote>
  <w:footnote w:id="21">
    <w:p w14:paraId="238675C7" w14:textId="093E42E6" w:rsidR="00D379D4" w:rsidRDefault="00D379D4">
      <w:pPr>
        <w:pStyle w:val="FootnoteText"/>
      </w:pPr>
      <w:r>
        <w:rPr>
          <w:rStyle w:val="FootnoteReference"/>
        </w:rPr>
        <w:footnoteRef/>
      </w:r>
      <w:r>
        <w:t xml:space="preserve"> </w:t>
      </w:r>
      <w:r>
        <w:rPr>
          <w:i/>
        </w:rPr>
        <w:t>Id.</w:t>
      </w:r>
      <w:r>
        <w:rPr>
          <w:i/>
          <w:spacing w:val="-2"/>
        </w:rPr>
        <w:t xml:space="preserve"> </w:t>
      </w:r>
      <w:r>
        <w:t>at</w:t>
      </w:r>
      <w:r>
        <w:rPr>
          <w:spacing w:val="-3"/>
        </w:rPr>
        <w:t xml:space="preserve"> </w:t>
      </w:r>
      <w:r>
        <w:t>593-</w:t>
      </w:r>
      <w:r>
        <w:rPr>
          <w:spacing w:val="-4"/>
        </w:rPr>
        <w:t>594.</w:t>
      </w:r>
    </w:p>
  </w:footnote>
  <w:footnote w:id="22">
    <w:p w14:paraId="057C41D6" w14:textId="03942172" w:rsidR="0000004B" w:rsidRDefault="0000004B">
      <w:pPr>
        <w:pStyle w:val="FootnoteText"/>
      </w:pPr>
      <w:r>
        <w:rPr>
          <w:rStyle w:val="FootnoteReference"/>
        </w:rPr>
        <w:footnoteRef/>
      </w:r>
      <w:r>
        <w:t xml:space="preserve"> </w:t>
      </w:r>
      <w:r>
        <w:rPr>
          <w:i/>
        </w:rPr>
        <w:t>Id</w:t>
      </w:r>
      <w:r>
        <w:t>.</w:t>
      </w:r>
      <w:r>
        <w:rPr>
          <w:spacing w:val="-1"/>
        </w:rPr>
        <w:t xml:space="preserve"> </w:t>
      </w:r>
      <w:r>
        <w:t>at</w:t>
      </w:r>
      <w:r>
        <w:rPr>
          <w:spacing w:val="-1"/>
        </w:rPr>
        <w:t xml:space="preserve"> </w:t>
      </w:r>
      <w:r>
        <w:rPr>
          <w:spacing w:val="-4"/>
        </w:rPr>
        <w:t>593.</w:t>
      </w:r>
    </w:p>
  </w:footnote>
  <w:footnote w:id="23">
    <w:p w14:paraId="41966708" w14:textId="581C9153" w:rsidR="0000004B" w:rsidRDefault="0000004B">
      <w:pPr>
        <w:pStyle w:val="FootnoteText"/>
      </w:pPr>
      <w:r>
        <w:rPr>
          <w:rStyle w:val="FootnoteReference"/>
        </w:rPr>
        <w:footnoteRef/>
      </w:r>
      <w:r>
        <w:t xml:space="preserve"> </w:t>
      </w:r>
      <w:r>
        <w:rPr>
          <w:i/>
        </w:rPr>
        <w:t xml:space="preserve">Id. </w:t>
      </w:r>
      <w:r>
        <w:t>at</w:t>
      </w:r>
      <w:r>
        <w:rPr>
          <w:spacing w:val="-1"/>
        </w:rPr>
        <w:t xml:space="preserve"> </w:t>
      </w:r>
      <w:r>
        <w:rPr>
          <w:spacing w:val="-4"/>
        </w:rPr>
        <w:t>594.</w:t>
      </w:r>
    </w:p>
  </w:footnote>
  <w:footnote w:id="24">
    <w:p w14:paraId="243353F5" w14:textId="6754C18E" w:rsidR="0000004B" w:rsidRDefault="0000004B">
      <w:pPr>
        <w:pStyle w:val="FootnoteText"/>
      </w:pPr>
      <w:r>
        <w:rPr>
          <w:rStyle w:val="FootnoteReference"/>
        </w:rPr>
        <w:footnoteRef/>
      </w:r>
      <w:r>
        <w:t xml:space="preserve"> </w:t>
      </w:r>
      <w:r>
        <w:rPr>
          <w:i/>
        </w:rPr>
        <w:t>Id</w:t>
      </w:r>
      <w:r>
        <w:t>.</w:t>
      </w:r>
      <w:r>
        <w:rPr>
          <w:spacing w:val="-3"/>
        </w:rPr>
        <w:t xml:space="preserve"> </w:t>
      </w:r>
      <w:r>
        <w:t>at</w:t>
      </w:r>
      <w:r>
        <w:rPr>
          <w:spacing w:val="-3"/>
        </w:rPr>
        <w:t xml:space="preserve"> </w:t>
      </w:r>
      <w:r>
        <w:t>594-</w:t>
      </w:r>
      <w:r>
        <w:rPr>
          <w:spacing w:val="-4"/>
        </w:rPr>
        <w:t>595.</w:t>
      </w:r>
    </w:p>
  </w:footnote>
  <w:footnote w:id="25">
    <w:p w14:paraId="2BC74660" w14:textId="51F57AF7" w:rsidR="00022B9F" w:rsidRDefault="00022B9F">
      <w:pPr>
        <w:pStyle w:val="FootnoteText"/>
      </w:pPr>
      <w:r>
        <w:rPr>
          <w:rStyle w:val="FootnoteReference"/>
        </w:rPr>
        <w:footnoteRef/>
      </w:r>
      <w:r>
        <w:t xml:space="preserve"> </w:t>
      </w:r>
      <w:r>
        <w:rPr>
          <w:i/>
        </w:rPr>
        <w:t>Kumho</w:t>
      </w:r>
      <w:r>
        <w:rPr>
          <w:i/>
          <w:spacing w:val="-2"/>
        </w:rPr>
        <w:t xml:space="preserve"> </w:t>
      </w:r>
      <w:r>
        <w:rPr>
          <w:i/>
        </w:rPr>
        <w:t>Tire,</w:t>
      </w:r>
      <w:r>
        <w:rPr>
          <w:i/>
          <w:spacing w:val="-2"/>
        </w:rPr>
        <w:t xml:space="preserve"> </w:t>
      </w:r>
      <w:r>
        <w:t>526</w:t>
      </w:r>
      <w:r>
        <w:rPr>
          <w:spacing w:val="-2"/>
        </w:rPr>
        <w:t xml:space="preserve"> </w:t>
      </w:r>
      <w:r>
        <w:t>U.S.</w:t>
      </w:r>
      <w:r>
        <w:rPr>
          <w:spacing w:val="-2"/>
        </w:rPr>
        <w:t xml:space="preserve"> </w:t>
      </w:r>
      <w:r>
        <w:t>at</w:t>
      </w:r>
      <w:r>
        <w:rPr>
          <w:spacing w:val="-3"/>
        </w:rPr>
        <w:t xml:space="preserve"> </w:t>
      </w:r>
      <w:r>
        <w:t>150</w:t>
      </w:r>
      <w:r>
        <w:rPr>
          <w:spacing w:val="-4"/>
        </w:rPr>
        <w:t xml:space="preserve"> </w:t>
      </w:r>
      <w:r>
        <w:rPr>
          <w:spacing w:val="-2"/>
        </w:rPr>
        <w:t>(1999).</w:t>
      </w:r>
    </w:p>
  </w:footnote>
  <w:footnote w:id="26">
    <w:p w14:paraId="141B758A" w14:textId="620D6445" w:rsidR="00022B9F" w:rsidRDefault="00022B9F">
      <w:pPr>
        <w:pStyle w:val="FootnoteText"/>
      </w:pPr>
      <w:r>
        <w:rPr>
          <w:rStyle w:val="FootnoteReference"/>
        </w:rPr>
        <w:footnoteRef/>
      </w:r>
      <w:r>
        <w:t xml:space="preserve"> </w:t>
      </w:r>
      <w:r>
        <w:rPr>
          <w:i/>
          <w:spacing w:val="-5"/>
        </w:rPr>
        <w:t>Id</w:t>
      </w:r>
      <w:r>
        <w:rPr>
          <w:spacing w:val="-5"/>
        </w:rPr>
        <w:t>.</w:t>
      </w:r>
    </w:p>
  </w:footnote>
  <w:footnote w:id="27">
    <w:p w14:paraId="45FB6263" w14:textId="236BBF8D" w:rsidR="00022B9F" w:rsidRDefault="00022B9F">
      <w:pPr>
        <w:pStyle w:val="FootnoteText"/>
      </w:pPr>
      <w:r>
        <w:rPr>
          <w:rStyle w:val="FootnoteReference"/>
        </w:rPr>
        <w:footnoteRef/>
      </w:r>
      <w:r>
        <w:t xml:space="preserve"> Daubert,</w:t>
      </w:r>
      <w:r>
        <w:rPr>
          <w:spacing w:val="-4"/>
        </w:rPr>
        <w:t xml:space="preserve"> </w:t>
      </w:r>
      <w:r>
        <w:t>509</w:t>
      </w:r>
      <w:r>
        <w:rPr>
          <w:spacing w:val="-4"/>
        </w:rPr>
        <w:t xml:space="preserve"> </w:t>
      </w:r>
      <w:r>
        <w:t>U.S.</w:t>
      </w:r>
      <w:r>
        <w:rPr>
          <w:spacing w:val="-4"/>
        </w:rPr>
        <w:t xml:space="preserve"> </w:t>
      </w:r>
      <w:r>
        <w:t>at</w:t>
      </w:r>
      <w:r>
        <w:rPr>
          <w:spacing w:val="-5"/>
        </w:rPr>
        <w:t xml:space="preserve"> </w:t>
      </w:r>
      <w:r>
        <w:t>593-</w:t>
      </w:r>
      <w:r>
        <w:rPr>
          <w:spacing w:val="-4"/>
        </w:rPr>
        <w:t>594.</w:t>
      </w:r>
    </w:p>
  </w:footnote>
  <w:footnote w:id="28">
    <w:p w14:paraId="171908F0" w14:textId="39EB6AB3" w:rsidR="00B723D4" w:rsidRDefault="00B723D4">
      <w:pPr>
        <w:pStyle w:val="FootnoteText"/>
      </w:pPr>
      <w:r>
        <w:rPr>
          <w:rStyle w:val="FootnoteReference"/>
        </w:rPr>
        <w:footnoteRef/>
      </w:r>
      <w:r>
        <w:t xml:space="preserve"> </w:t>
      </w:r>
      <w:r w:rsidR="0081330D" w:rsidRPr="00B362D6">
        <w:t>See</w:t>
      </w:r>
      <w:r w:rsidR="0081330D" w:rsidRPr="00B362D6">
        <w:rPr>
          <w:spacing w:val="-3"/>
        </w:rPr>
        <w:t xml:space="preserve"> </w:t>
      </w:r>
      <w:r w:rsidR="0081330D">
        <w:rPr>
          <w:spacing w:val="-2"/>
        </w:rPr>
        <w:t xml:space="preserve">Federal </w:t>
      </w:r>
      <w:r w:rsidR="0081330D">
        <w:t>Judicial</w:t>
      </w:r>
      <w:r w:rsidR="0081330D">
        <w:rPr>
          <w:spacing w:val="-4"/>
        </w:rPr>
        <w:t xml:space="preserve"> </w:t>
      </w:r>
      <w:r w:rsidR="0081330D">
        <w:t>Center</w:t>
      </w:r>
      <w:r w:rsidR="0081330D">
        <w:rPr>
          <w:spacing w:val="-2"/>
        </w:rPr>
        <w:t xml:space="preserve"> </w:t>
      </w:r>
      <w:r w:rsidR="0081330D">
        <w:t>Reference</w:t>
      </w:r>
      <w:r w:rsidR="0081330D">
        <w:rPr>
          <w:spacing w:val="-4"/>
        </w:rPr>
        <w:t xml:space="preserve"> </w:t>
      </w:r>
      <w:r w:rsidR="0081330D">
        <w:t>Manual</w:t>
      </w:r>
      <w:r w:rsidR="0081330D">
        <w:rPr>
          <w:spacing w:val="-4"/>
        </w:rPr>
        <w:t xml:space="preserve"> </w:t>
      </w:r>
      <w:r w:rsidR="0081330D">
        <w:t>on</w:t>
      </w:r>
      <w:r w:rsidR="0081330D">
        <w:rPr>
          <w:spacing w:val="-5"/>
        </w:rPr>
        <w:t xml:space="preserve"> </w:t>
      </w:r>
      <w:r w:rsidR="0081330D">
        <w:t>Scientific</w:t>
      </w:r>
      <w:r w:rsidR="0081330D">
        <w:rPr>
          <w:spacing w:val="-4"/>
        </w:rPr>
        <w:t xml:space="preserve"> </w:t>
      </w:r>
      <w:r w:rsidR="0081330D">
        <w:t>Evidence</w:t>
      </w:r>
      <w:r w:rsidR="0081330D">
        <w:rPr>
          <w:spacing w:val="-4"/>
        </w:rPr>
        <w:t xml:space="preserve"> </w:t>
      </w:r>
      <w:r w:rsidR="0081330D">
        <w:t>(3d</w:t>
      </w:r>
      <w:r w:rsidR="0081330D">
        <w:rPr>
          <w:spacing w:val="-3"/>
        </w:rPr>
        <w:t xml:space="preserve"> </w:t>
      </w:r>
      <w:r w:rsidR="0081330D">
        <w:t>Ed.</w:t>
      </w:r>
      <w:r w:rsidR="0081330D">
        <w:rPr>
          <w:spacing w:val="-6"/>
        </w:rPr>
        <w:t xml:space="preserve"> </w:t>
      </w:r>
      <w:r w:rsidR="0081330D">
        <w:t xml:space="preserve">2011), </w:t>
      </w:r>
      <w:r w:rsidR="0081330D">
        <w:rPr>
          <w:i/>
        </w:rPr>
        <w:t>available</w:t>
      </w:r>
      <w:r w:rsidR="0081330D">
        <w:rPr>
          <w:i/>
          <w:spacing w:val="-6"/>
        </w:rPr>
        <w:t xml:space="preserve"> </w:t>
      </w:r>
      <w:r w:rsidR="0081330D">
        <w:rPr>
          <w:i/>
        </w:rPr>
        <w:t xml:space="preserve">at </w:t>
      </w:r>
      <w:r w:rsidR="0081330D">
        <w:rPr>
          <w:i/>
          <w:spacing w:val="-2"/>
        </w:rPr>
        <w:t>https:</w:t>
      </w:r>
      <w:hyperlink r:id="rId1">
        <w:r w:rsidR="0081330D">
          <w:rPr>
            <w:i/>
            <w:spacing w:val="-2"/>
          </w:rPr>
          <w:t>//w</w:t>
        </w:r>
      </w:hyperlink>
      <w:r w:rsidR="0081330D">
        <w:rPr>
          <w:i/>
          <w:spacing w:val="-2"/>
        </w:rPr>
        <w:t>ww</w:t>
      </w:r>
      <w:hyperlink r:id="rId2">
        <w:r w:rsidR="0081330D">
          <w:rPr>
            <w:i/>
            <w:spacing w:val="-2"/>
          </w:rPr>
          <w:t>.fjc.gov/sites/default/files/2015/SciMan3D01.pdf</w:t>
        </w:r>
      </w:hyperlink>
    </w:p>
  </w:footnote>
  <w:footnote w:id="29">
    <w:p w14:paraId="01EBF3AB" w14:textId="30754CE5" w:rsidR="007F137C" w:rsidRDefault="007F137C">
      <w:pPr>
        <w:pStyle w:val="FootnoteText"/>
      </w:pPr>
      <w:r>
        <w:rPr>
          <w:rStyle w:val="FootnoteReference"/>
        </w:rPr>
        <w:footnoteRef/>
      </w:r>
      <w:r>
        <w:t xml:space="preserve"> </w:t>
      </w:r>
      <w:r w:rsidR="00E070F0" w:rsidRPr="00E070F0">
        <w:rPr>
          <w:highlight w:val="yellow"/>
        </w:rPr>
        <w:t>Division L</w:t>
      </w:r>
      <w:r w:rsidRPr="00E070F0">
        <w:rPr>
          <w:spacing w:val="-5"/>
          <w:highlight w:val="yellow"/>
        </w:rPr>
        <w:t xml:space="preserve"> </w:t>
      </w:r>
      <w:r w:rsidRPr="00E070F0">
        <w:rPr>
          <w:highlight w:val="yellow"/>
        </w:rPr>
        <w:t>Policies</w:t>
      </w:r>
      <w:r w:rsidRPr="00E070F0">
        <w:rPr>
          <w:spacing w:val="-5"/>
          <w:highlight w:val="yellow"/>
        </w:rPr>
        <w:t xml:space="preserve"> </w:t>
      </w:r>
      <w:r w:rsidRPr="00E070F0">
        <w:rPr>
          <w:highlight w:val="yellow"/>
        </w:rPr>
        <w:t>and</w:t>
      </w:r>
      <w:r w:rsidRPr="00E070F0">
        <w:rPr>
          <w:spacing w:val="-5"/>
          <w:highlight w:val="yellow"/>
        </w:rPr>
        <w:t xml:space="preserve"> </w:t>
      </w:r>
      <w:r w:rsidRPr="00E070F0">
        <w:rPr>
          <w:highlight w:val="yellow"/>
        </w:rPr>
        <w:t>Procedures</w:t>
      </w:r>
      <w:r w:rsidRPr="00E070F0">
        <w:rPr>
          <w:spacing w:val="-5"/>
          <w:highlight w:val="yellow"/>
        </w:rPr>
        <w:t xml:space="preserve"> </w:t>
      </w:r>
      <w:hyperlink r:id="rId3" w:history="1">
        <w:r w:rsidR="00252D36">
          <w:rPr>
            <w:rStyle w:val="Hyperlink"/>
            <w:highlight w:val="yellow"/>
          </w:rPr>
          <w:t xml:space="preserve">https://flcourts18.org/judge-curt-jacobus-policies-page/ </w:t>
        </w:r>
      </w:hyperlink>
    </w:p>
  </w:footnote>
  <w:footnote w:id="30">
    <w:p w14:paraId="09D59C22" w14:textId="0B11CCC7" w:rsidR="00654A3E" w:rsidRDefault="00654A3E">
      <w:pPr>
        <w:pStyle w:val="FootnoteText"/>
      </w:pPr>
      <w:r>
        <w:rPr>
          <w:rStyle w:val="FootnoteReference"/>
        </w:rPr>
        <w:footnoteRef/>
      </w:r>
      <w:r>
        <w:t xml:space="preserve"> If</w:t>
      </w:r>
      <w:r>
        <w:rPr>
          <w:spacing w:val="-4"/>
        </w:rPr>
        <w:t xml:space="preserve"> </w:t>
      </w:r>
      <w:r>
        <w:t>the</w:t>
      </w:r>
      <w:r>
        <w:rPr>
          <w:spacing w:val="-2"/>
        </w:rPr>
        <w:t xml:space="preserve"> </w:t>
      </w:r>
      <w:r>
        <w:t>attorneys</w:t>
      </w:r>
      <w:r>
        <w:rPr>
          <w:spacing w:val="-3"/>
        </w:rPr>
        <w:t xml:space="preserve"> </w:t>
      </w:r>
      <w:r>
        <w:t>cannot</w:t>
      </w:r>
      <w:r>
        <w:rPr>
          <w:spacing w:val="-3"/>
        </w:rPr>
        <w:t xml:space="preserve"> </w:t>
      </w:r>
      <w:r>
        <w:t>agree,</w:t>
      </w:r>
      <w:r>
        <w:rPr>
          <w:spacing w:val="-2"/>
        </w:rPr>
        <w:t xml:space="preserve"> </w:t>
      </w:r>
      <w:r>
        <w:t>the</w:t>
      </w:r>
      <w:r>
        <w:rPr>
          <w:spacing w:val="-2"/>
        </w:rPr>
        <w:t xml:space="preserve"> </w:t>
      </w:r>
      <w:r>
        <w:t>attorney</w:t>
      </w:r>
      <w:r>
        <w:rPr>
          <w:spacing w:val="-3"/>
        </w:rPr>
        <w:t xml:space="preserve"> </w:t>
      </w:r>
      <w:r>
        <w:t>challenging</w:t>
      </w:r>
      <w:r>
        <w:rPr>
          <w:spacing w:val="-3"/>
        </w:rPr>
        <w:t xml:space="preserve"> </w:t>
      </w:r>
      <w:r>
        <w:t>the</w:t>
      </w:r>
      <w:r>
        <w:rPr>
          <w:spacing w:val="-2"/>
        </w:rPr>
        <w:t xml:space="preserve"> </w:t>
      </w:r>
      <w:r>
        <w:t>expert will</w:t>
      </w:r>
      <w:r>
        <w:rPr>
          <w:spacing w:val="-3"/>
        </w:rPr>
        <w:t xml:space="preserve"> </w:t>
      </w:r>
      <w:r>
        <w:t>provide</w:t>
      </w:r>
      <w:r>
        <w:rPr>
          <w:spacing w:val="-2"/>
        </w:rPr>
        <w:t xml:space="preserve"> </w:t>
      </w:r>
      <w:r>
        <w:t>a</w:t>
      </w:r>
      <w:r>
        <w:rPr>
          <w:spacing w:val="-2"/>
        </w:rPr>
        <w:t xml:space="preserve"> </w:t>
      </w:r>
      <w:r>
        <w:t>list</w:t>
      </w:r>
      <w:r>
        <w:rPr>
          <w:spacing w:val="-3"/>
        </w:rPr>
        <w:t xml:space="preserve"> </w:t>
      </w:r>
      <w:r>
        <w:t>of</w:t>
      </w:r>
      <w:r>
        <w:rPr>
          <w:spacing w:val="-4"/>
        </w:rPr>
        <w:t xml:space="preserve"> </w:t>
      </w:r>
      <w:r>
        <w:t>the</w:t>
      </w:r>
      <w:r>
        <w:rPr>
          <w:spacing w:val="-2"/>
        </w:rPr>
        <w:t xml:space="preserve"> </w:t>
      </w:r>
      <w:r>
        <w:t>opinions</w:t>
      </w:r>
      <w:r>
        <w:rPr>
          <w:spacing w:val="-3"/>
        </w:rPr>
        <w:t xml:space="preserve"> </w:t>
      </w:r>
      <w:r>
        <w:t>that</w:t>
      </w:r>
      <w:r>
        <w:rPr>
          <w:spacing w:val="-2"/>
        </w:rPr>
        <w:t xml:space="preserve"> </w:t>
      </w:r>
      <w:r>
        <w:t>they</w:t>
      </w:r>
      <w:r>
        <w:rPr>
          <w:spacing w:val="-6"/>
        </w:rPr>
        <w:t xml:space="preserve"> </w:t>
      </w:r>
      <w:r>
        <w:t>expect the expert to provide and about which they object.</w:t>
      </w:r>
      <w:r>
        <w:rPr>
          <w:spacing w:val="60"/>
        </w:rPr>
        <w:t xml:space="preserve"> </w:t>
      </w:r>
      <w:r>
        <w:t>The proponent of the expert will provide the information set</w:t>
      </w:r>
      <w:r>
        <w:rPr>
          <w:spacing w:val="40"/>
        </w:rPr>
        <w:t xml:space="preserve"> </w:t>
      </w:r>
      <w:r>
        <w:t>forth herein as to each of those expert opinions.</w:t>
      </w:r>
    </w:p>
  </w:footnote>
  <w:footnote w:id="31">
    <w:p w14:paraId="3FAF60B7" w14:textId="52436C8C" w:rsidR="00521576" w:rsidRPr="00E070F0" w:rsidRDefault="00521576">
      <w:pPr>
        <w:pStyle w:val="FootnoteText"/>
        <w:rPr>
          <w:highlight w:val="yellow"/>
        </w:rPr>
      </w:pPr>
      <w:r>
        <w:rPr>
          <w:rStyle w:val="FootnoteReference"/>
        </w:rPr>
        <w:footnoteRef/>
      </w:r>
      <w:r>
        <w:t xml:space="preserve"> </w:t>
      </w:r>
      <w:r w:rsidR="00E070F0" w:rsidRPr="00E070F0">
        <w:rPr>
          <w:highlight w:val="yellow"/>
        </w:rPr>
        <w:t>Division L</w:t>
      </w:r>
      <w:r w:rsidRPr="00E070F0">
        <w:rPr>
          <w:spacing w:val="-5"/>
          <w:highlight w:val="yellow"/>
        </w:rPr>
        <w:t xml:space="preserve"> </w:t>
      </w:r>
      <w:r w:rsidRPr="00E070F0">
        <w:rPr>
          <w:highlight w:val="yellow"/>
        </w:rPr>
        <w:t>Policies</w:t>
      </w:r>
      <w:r w:rsidRPr="00E070F0">
        <w:rPr>
          <w:spacing w:val="-5"/>
          <w:highlight w:val="yellow"/>
        </w:rPr>
        <w:t xml:space="preserve"> </w:t>
      </w:r>
      <w:r w:rsidRPr="00E070F0">
        <w:rPr>
          <w:highlight w:val="yellow"/>
        </w:rPr>
        <w:t>and</w:t>
      </w:r>
      <w:r w:rsidRPr="00E070F0">
        <w:rPr>
          <w:spacing w:val="-5"/>
          <w:highlight w:val="yellow"/>
        </w:rPr>
        <w:t xml:space="preserve"> </w:t>
      </w:r>
      <w:r w:rsidRPr="00E070F0">
        <w:rPr>
          <w:highlight w:val="yellow"/>
        </w:rPr>
        <w:t>Procedures</w:t>
      </w:r>
      <w:r w:rsidRPr="00E070F0">
        <w:rPr>
          <w:spacing w:val="-5"/>
          <w:highlight w:val="yellow"/>
        </w:rPr>
        <w:t xml:space="preserve"> </w:t>
      </w:r>
      <w:hyperlink r:id="rId4" w:history="1">
        <w:r w:rsidR="00252D36">
          <w:rPr>
            <w:rStyle w:val="Hyperlink"/>
            <w:highlight w:val="yellow"/>
          </w:rPr>
          <w:t xml:space="preserve">https://flcourts18.org/judge-curt-jacobus-policies-page/ </w:t>
        </w:r>
      </w:hyperlink>
    </w:p>
  </w:footnote>
  <w:footnote w:id="32">
    <w:p w14:paraId="23AE1A9B" w14:textId="6DE03156" w:rsidR="000C2D94" w:rsidRDefault="000C2D94">
      <w:pPr>
        <w:pStyle w:val="FootnoteText"/>
      </w:pPr>
      <w:r w:rsidRPr="00E070F0">
        <w:rPr>
          <w:rStyle w:val="FootnoteReference"/>
          <w:highlight w:val="yellow"/>
        </w:rPr>
        <w:footnoteRef/>
      </w:r>
      <w:r w:rsidRPr="00E070F0">
        <w:rPr>
          <w:highlight w:val="yellow"/>
        </w:rPr>
        <w:t xml:space="preserve"> </w:t>
      </w:r>
      <w:r w:rsidR="00E070F0" w:rsidRPr="00E070F0">
        <w:rPr>
          <w:highlight w:val="yellow"/>
        </w:rPr>
        <w:t>Division L</w:t>
      </w:r>
      <w:r w:rsidRPr="00E070F0">
        <w:rPr>
          <w:spacing w:val="-5"/>
          <w:highlight w:val="yellow"/>
        </w:rPr>
        <w:t xml:space="preserve"> </w:t>
      </w:r>
      <w:r w:rsidRPr="00E070F0">
        <w:rPr>
          <w:highlight w:val="yellow"/>
        </w:rPr>
        <w:t>Policies</w:t>
      </w:r>
      <w:r w:rsidRPr="00E070F0">
        <w:rPr>
          <w:spacing w:val="-5"/>
          <w:highlight w:val="yellow"/>
        </w:rPr>
        <w:t xml:space="preserve"> </w:t>
      </w:r>
      <w:r w:rsidRPr="00E070F0">
        <w:rPr>
          <w:highlight w:val="yellow"/>
        </w:rPr>
        <w:t>and</w:t>
      </w:r>
      <w:r w:rsidRPr="00E070F0">
        <w:rPr>
          <w:spacing w:val="-5"/>
          <w:highlight w:val="yellow"/>
        </w:rPr>
        <w:t xml:space="preserve"> </w:t>
      </w:r>
      <w:r w:rsidRPr="00E070F0">
        <w:rPr>
          <w:highlight w:val="yellow"/>
        </w:rPr>
        <w:t>Procedures</w:t>
      </w:r>
      <w:r w:rsidRPr="00E070F0">
        <w:rPr>
          <w:spacing w:val="-5"/>
          <w:highlight w:val="yellow"/>
        </w:rPr>
        <w:t xml:space="preserve"> </w:t>
      </w:r>
      <w:hyperlink r:id="rId5" w:history="1">
        <w:r w:rsidR="00252D36">
          <w:rPr>
            <w:rStyle w:val="Hyperlink"/>
            <w:highlight w:val="yellow"/>
          </w:rPr>
          <w:t xml:space="preserve">https://flcourts18.org/judge-curt-jacobus-policies-page/ </w:t>
        </w:r>
      </w:hyperlink>
    </w:p>
  </w:footnote>
  <w:footnote w:id="33">
    <w:p w14:paraId="3F5AF968" w14:textId="2FBB63E4" w:rsidR="00274CD7" w:rsidRDefault="00274CD7">
      <w:pPr>
        <w:pStyle w:val="FootnoteText"/>
      </w:pPr>
      <w:r>
        <w:rPr>
          <w:rStyle w:val="FootnoteReference"/>
        </w:rPr>
        <w:footnoteRef/>
      </w:r>
      <w:r>
        <w:t xml:space="preserve"> Fla.</w:t>
      </w:r>
      <w:r>
        <w:rPr>
          <w:spacing w:val="-2"/>
        </w:rPr>
        <w:t xml:space="preserve"> </w:t>
      </w:r>
      <w:r>
        <w:t>Stat.</w:t>
      </w:r>
      <w:r>
        <w:rPr>
          <w:spacing w:val="-2"/>
        </w:rPr>
        <w:t xml:space="preserve"> </w:t>
      </w:r>
      <w:r>
        <w:t>§90.704</w:t>
      </w:r>
      <w:r>
        <w:rPr>
          <w:spacing w:val="-1"/>
        </w:rPr>
        <w:t xml:space="preserve"> </w:t>
      </w:r>
      <w:r>
        <w:t>(“If</w:t>
      </w:r>
      <w:r>
        <w:rPr>
          <w:spacing w:val="-4"/>
        </w:rPr>
        <w:t xml:space="preserve"> </w:t>
      </w:r>
      <w:r>
        <w:t>the</w:t>
      </w:r>
      <w:r>
        <w:rPr>
          <w:spacing w:val="-2"/>
        </w:rPr>
        <w:t xml:space="preserve"> </w:t>
      </w:r>
      <w:r>
        <w:t>facts</w:t>
      </w:r>
      <w:r>
        <w:rPr>
          <w:spacing w:val="-3"/>
        </w:rPr>
        <w:t xml:space="preserve"> </w:t>
      </w:r>
      <w:r>
        <w:t>for</w:t>
      </w:r>
      <w:r>
        <w:rPr>
          <w:spacing w:val="-2"/>
        </w:rPr>
        <w:t xml:space="preserve"> </w:t>
      </w:r>
      <w:r>
        <w:t>data</w:t>
      </w:r>
      <w:r>
        <w:rPr>
          <w:spacing w:val="-2"/>
        </w:rPr>
        <w:t xml:space="preserve"> </w:t>
      </w:r>
      <w:r>
        <w:t>are</w:t>
      </w:r>
      <w:r>
        <w:rPr>
          <w:spacing w:val="-2"/>
        </w:rPr>
        <w:t xml:space="preserve"> </w:t>
      </w:r>
      <w:r>
        <w:t>of</w:t>
      </w:r>
      <w:r>
        <w:rPr>
          <w:spacing w:val="-4"/>
        </w:rPr>
        <w:t xml:space="preserve"> </w:t>
      </w:r>
      <w:r>
        <w:t>a</w:t>
      </w:r>
      <w:r>
        <w:rPr>
          <w:spacing w:val="-2"/>
        </w:rPr>
        <w:t xml:space="preserve"> </w:t>
      </w:r>
      <w:r>
        <w:t>type</w:t>
      </w:r>
      <w:r>
        <w:rPr>
          <w:spacing w:val="-2"/>
        </w:rPr>
        <w:t xml:space="preserve"> </w:t>
      </w:r>
      <w:r>
        <w:t>reasonably</w:t>
      </w:r>
      <w:r>
        <w:rPr>
          <w:spacing w:val="-6"/>
        </w:rPr>
        <w:t xml:space="preserve"> </w:t>
      </w:r>
      <w:r>
        <w:t>relied upon</w:t>
      </w:r>
      <w:r>
        <w:rPr>
          <w:spacing w:val="-3"/>
        </w:rPr>
        <w:t xml:space="preserve"> </w:t>
      </w:r>
      <w:r>
        <w:t>by</w:t>
      </w:r>
      <w:r>
        <w:rPr>
          <w:spacing w:val="-6"/>
        </w:rPr>
        <w:t xml:space="preserve"> </w:t>
      </w:r>
      <w:proofErr w:type="gramStart"/>
      <w:r>
        <w:t>expert’s</w:t>
      </w:r>
      <w:proofErr w:type="gramEnd"/>
      <w:r>
        <w:rPr>
          <w:spacing w:val="-3"/>
        </w:rPr>
        <w:t xml:space="preserve"> </w:t>
      </w:r>
      <w:r>
        <w:t>in</w:t>
      </w:r>
      <w:r>
        <w:rPr>
          <w:spacing w:val="-3"/>
        </w:rPr>
        <w:t xml:space="preserve"> </w:t>
      </w:r>
      <w:r>
        <w:t>the</w:t>
      </w:r>
      <w:r>
        <w:rPr>
          <w:spacing w:val="-2"/>
        </w:rPr>
        <w:t xml:space="preserve"> </w:t>
      </w:r>
      <w:r>
        <w:t>subject</w:t>
      </w:r>
      <w:r>
        <w:rPr>
          <w:spacing w:val="-3"/>
        </w:rPr>
        <w:t xml:space="preserve"> </w:t>
      </w:r>
      <w:r>
        <w:t>to</w:t>
      </w:r>
      <w:r>
        <w:rPr>
          <w:spacing w:val="-1"/>
        </w:rPr>
        <w:t xml:space="preserve"> </w:t>
      </w:r>
      <w:r>
        <w:t>support the opinion expressed, the facts or data need not be admissible in evidence.”).</w:t>
      </w:r>
    </w:p>
  </w:footnote>
  <w:footnote w:id="34">
    <w:p w14:paraId="1B863919" w14:textId="07B67608" w:rsidR="00272A34" w:rsidRDefault="00272A34">
      <w:pPr>
        <w:pStyle w:val="FootnoteText"/>
      </w:pPr>
      <w:r>
        <w:rPr>
          <w:rStyle w:val="FootnoteReference"/>
        </w:rPr>
        <w:footnoteRef/>
      </w:r>
      <w:r>
        <w:t xml:space="preserve"> Fed.</w:t>
      </w:r>
      <w:r>
        <w:rPr>
          <w:spacing w:val="-3"/>
        </w:rPr>
        <w:t xml:space="preserve"> </w:t>
      </w:r>
      <w:r>
        <w:t>R.</w:t>
      </w:r>
      <w:r>
        <w:rPr>
          <w:spacing w:val="-3"/>
        </w:rPr>
        <w:t xml:space="preserve"> </w:t>
      </w:r>
      <w:r>
        <w:t>Evid.</w:t>
      </w:r>
      <w:r>
        <w:rPr>
          <w:spacing w:val="-3"/>
        </w:rPr>
        <w:t xml:space="preserve"> </w:t>
      </w:r>
      <w:r>
        <w:rPr>
          <w:spacing w:val="-4"/>
        </w:rPr>
        <w:t>104.</w:t>
      </w:r>
    </w:p>
  </w:footnote>
  <w:footnote w:id="35">
    <w:p w14:paraId="28D46F1E" w14:textId="69E736B9" w:rsidR="00787851" w:rsidRDefault="00787851">
      <w:pPr>
        <w:pStyle w:val="FootnoteText"/>
      </w:pPr>
      <w:r>
        <w:rPr>
          <w:rStyle w:val="FootnoteReference"/>
        </w:rPr>
        <w:footnoteRef/>
      </w:r>
      <w:r>
        <w:t xml:space="preserve"> Fla.</w:t>
      </w:r>
      <w:r>
        <w:rPr>
          <w:spacing w:val="-3"/>
        </w:rPr>
        <w:t xml:space="preserve"> </w:t>
      </w:r>
      <w:r>
        <w:t>Stat.</w:t>
      </w:r>
      <w:r>
        <w:rPr>
          <w:spacing w:val="-2"/>
        </w:rPr>
        <w:t xml:space="preserve"> §90.704.</w:t>
      </w:r>
    </w:p>
  </w:footnote>
  <w:footnote w:id="36">
    <w:p w14:paraId="39C1931D" w14:textId="1ECA8C72" w:rsidR="002A1314" w:rsidRDefault="002A1314">
      <w:pPr>
        <w:pStyle w:val="FootnoteText"/>
      </w:pPr>
      <w:r w:rsidRPr="00E070F0">
        <w:rPr>
          <w:rStyle w:val="FootnoteReference"/>
          <w:highlight w:val="yellow"/>
        </w:rPr>
        <w:footnoteRef/>
      </w:r>
      <w:r w:rsidRPr="00E070F0">
        <w:rPr>
          <w:highlight w:val="yellow"/>
        </w:rPr>
        <w:t xml:space="preserve"> </w:t>
      </w:r>
      <w:r w:rsidR="00E070F0" w:rsidRPr="00E070F0">
        <w:rPr>
          <w:highlight w:val="yellow"/>
        </w:rPr>
        <w:t>Division L</w:t>
      </w:r>
      <w:r w:rsidRPr="00E070F0">
        <w:rPr>
          <w:spacing w:val="-5"/>
          <w:highlight w:val="yellow"/>
        </w:rPr>
        <w:t xml:space="preserve"> </w:t>
      </w:r>
      <w:r w:rsidRPr="00E070F0">
        <w:rPr>
          <w:highlight w:val="yellow"/>
        </w:rPr>
        <w:t>Policies</w:t>
      </w:r>
      <w:r w:rsidRPr="00E070F0">
        <w:rPr>
          <w:spacing w:val="-5"/>
          <w:highlight w:val="yellow"/>
        </w:rPr>
        <w:t xml:space="preserve"> </w:t>
      </w:r>
      <w:r w:rsidRPr="00E070F0">
        <w:rPr>
          <w:highlight w:val="yellow"/>
        </w:rPr>
        <w:t>and</w:t>
      </w:r>
      <w:r w:rsidRPr="00E070F0">
        <w:rPr>
          <w:spacing w:val="-5"/>
          <w:highlight w:val="yellow"/>
        </w:rPr>
        <w:t xml:space="preserve"> </w:t>
      </w:r>
      <w:r w:rsidRPr="00E070F0">
        <w:rPr>
          <w:highlight w:val="yellow"/>
        </w:rPr>
        <w:t>Procedures</w:t>
      </w:r>
      <w:r w:rsidRPr="00E070F0">
        <w:rPr>
          <w:spacing w:val="-5"/>
          <w:highlight w:val="yellow"/>
        </w:rPr>
        <w:t xml:space="preserve"> </w:t>
      </w:r>
      <w:hyperlink r:id="rId6" w:history="1">
        <w:r w:rsidR="00252D36">
          <w:rPr>
            <w:rStyle w:val="Hyperlink"/>
            <w:highlight w:val="yellow"/>
          </w:rPr>
          <w:t xml:space="preserve">https://flcourts18.org/judge-curt-jacobus-policies-page/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2C4A"/>
    <w:multiLevelType w:val="hybridMultilevel"/>
    <w:tmpl w:val="B0D68EB4"/>
    <w:lvl w:ilvl="0" w:tplc="2DBCDA3A">
      <w:start w:val="1"/>
      <w:numFmt w:val="decimal"/>
      <w:lvlText w:val="%1."/>
      <w:lvlJc w:val="left"/>
      <w:pPr>
        <w:ind w:left="100" w:hanging="720"/>
      </w:pPr>
      <w:rPr>
        <w:rFonts w:ascii="Times New Roman" w:eastAsia="Times New Roman" w:hAnsi="Times New Roman" w:cs="Times New Roman" w:hint="default"/>
        <w:b w:val="0"/>
        <w:bCs w:val="0"/>
        <w:i w:val="0"/>
        <w:iCs w:val="0"/>
        <w:w w:val="100"/>
        <w:sz w:val="24"/>
        <w:szCs w:val="24"/>
        <w:lang w:val="en-US" w:eastAsia="en-US" w:bidi="ar-SA"/>
      </w:rPr>
    </w:lvl>
    <w:lvl w:ilvl="1" w:tplc="7FE0391A">
      <w:start w:val="1"/>
      <w:numFmt w:val="lowerLetter"/>
      <w:lvlText w:val="%2."/>
      <w:lvlJc w:val="left"/>
      <w:pPr>
        <w:ind w:left="8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1FF8C298">
      <w:numFmt w:val="bullet"/>
      <w:lvlText w:val="•"/>
      <w:lvlJc w:val="left"/>
      <w:pPr>
        <w:ind w:left="1804" w:hanging="720"/>
      </w:pPr>
      <w:rPr>
        <w:rFonts w:hint="default"/>
        <w:lang w:val="en-US" w:eastAsia="en-US" w:bidi="ar-SA"/>
      </w:rPr>
    </w:lvl>
    <w:lvl w:ilvl="3" w:tplc="C8DEA93E">
      <w:numFmt w:val="bullet"/>
      <w:lvlText w:val="•"/>
      <w:lvlJc w:val="left"/>
      <w:pPr>
        <w:ind w:left="2788" w:hanging="720"/>
      </w:pPr>
      <w:rPr>
        <w:rFonts w:hint="default"/>
        <w:lang w:val="en-US" w:eastAsia="en-US" w:bidi="ar-SA"/>
      </w:rPr>
    </w:lvl>
    <w:lvl w:ilvl="4" w:tplc="3420FF9E">
      <w:numFmt w:val="bullet"/>
      <w:lvlText w:val="•"/>
      <w:lvlJc w:val="left"/>
      <w:pPr>
        <w:ind w:left="3773" w:hanging="720"/>
      </w:pPr>
      <w:rPr>
        <w:rFonts w:hint="default"/>
        <w:lang w:val="en-US" w:eastAsia="en-US" w:bidi="ar-SA"/>
      </w:rPr>
    </w:lvl>
    <w:lvl w:ilvl="5" w:tplc="EE666E24">
      <w:numFmt w:val="bullet"/>
      <w:lvlText w:val="•"/>
      <w:lvlJc w:val="left"/>
      <w:pPr>
        <w:ind w:left="4757" w:hanging="720"/>
      </w:pPr>
      <w:rPr>
        <w:rFonts w:hint="default"/>
        <w:lang w:val="en-US" w:eastAsia="en-US" w:bidi="ar-SA"/>
      </w:rPr>
    </w:lvl>
    <w:lvl w:ilvl="6" w:tplc="CB0E84EA">
      <w:numFmt w:val="bullet"/>
      <w:lvlText w:val="•"/>
      <w:lvlJc w:val="left"/>
      <w:pPr>
        <w:ind w:left="5742" w:hanging="720"/>
      </w:pPr>
      <w:rPr>
        <w:rFonts w:hint="default"/>
        <w:lang w:val="en-US" w:eastAsia="en-US" w:bidi="ar-SA"/>
      </w:rPr>
    </w:lvl>
    <w:lvl w:ilvl="7" w:tplc="9C6ED8A0">
      <w:numFmt w:val="bullet"/>
      <w:lvlText w:val="•"/>
      <w:lvlJc w:val="left"/>
      <w:pPr>
        <w:ind w:left="6726" w:hanging="720"/>
      </w:pPr>
      <w:rPr>
        <w:rFonts w:hint="default"/>
        <w:lang w:val="en-US" w:eastAsia="en-US" w:bidi="ar-SA"/>
      </w:rPr>
    </w:lvl>
    <w:lvl w:ilvl="8" w:tplc="12408C26">
      <w:numFmt w:val="bullet"/>
      <w:lvlText w:val="•"/>
      <w:lvlJc w:val="left"/>
      <w:pPr>
        <w:ind w:left="7711" w:hanging="720"/>
      </w:pPr>
      <w:rPr>
        <w:rFonts w:hint="default"/>
        <w:lang w:val="en-US" w:eastAsia="en-US" w:bidi="ar-SA"/>
      </w:rPr>
    </w:lvl>
  </w:abstractNum>
  <w:abstractNum w:abstractNumId="1" w15:restartNumberingAfterBreak="0">
    <w:nsid w:val="37027E5E"/>
    <w:multiLevelType w:val="hybridMultilevel"/>
    <w:tmpl w:val="860273C0"/>
    <w:lvl w:ilvl="0" w:tplc="0B2A88D0">
      <w:start w:val="1"/>
      <w:numFmt w:val="lowerLetter"/>
      <w:lvlText w:val="%1."/>
      <w:lvlJc w:val="left"/>
      <w:pPr>
        <w:ind w:left="736" w:hanging="7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286889F0">
      <w:numFmt w:val="bullet"/>
      <w:lvlText w:val="•"/>
      <w:lvlJc w:val="left"/>
      <w:pPr>
        <w:ind w:left="1481" w:hanging="720"/>
      </w:pPr>
      <w:rPr>
        <w:rFonts w:hint="default"/>
        <w:lang w:val="en-US" w:eastAsia="en-US" w:bidi="ar-SA"/>
      </w:rPr>
    </w:lvl>
    <w:lvl w:ilvl="2" w:tplc="225C9C40">
      <w:numFmt w:val="bullet"/>
      <w:lvlText w:val="•"/>
      <w:lvlJc w:val="left"/>
      <w:pPr>
        <w:ind w:left="2223" w:hanging="720"/>
      </w:pPr>
      <w:rPr>
        <w:rFonts w:hint="default"/>
        <w:lang w:val="en-US" w:eastAsia="en-US" w:bidi="ar-SA"/>
      </w:rPr>
    </w:lvl>
    <w:lvl w:ilvl="3" w:tplc="D474EFA8">
      <w:numFmt w:val="bullet"/>
      <w:lvlText w:val="•"/>
      <w:lvlJc w:val="left"/>
      <w:pPr>
        <w:ind w:left="2964" w:hanging="720"/>
      </w:pPr>
      <w:rPr>
        <w:rFonts w:hint="default"/>
        <w:lang w:val="en-US" w:eastAsia="en-US" w:bidi="ar-SA"/>
      </w:rPr>
    </w:lvl>
    <w:lvl w:ilvl="4" w:tplc="BEAEA2DC">
      <w:numFmt w:val="bullet"/>
      <w:lvlText w:val="•"/>
      <w:lvlJc w:val="left"/>
      <w:pPr>
        <w:ind w:left="3706" w:hanging="720"/>
      </w:pPr>
      <w:rPr>
        <w:rFonts w:hint="default"/>
        <w:lang w:val="en-US" w:eastAsia="en-US" w:bidi="ar-SA"/>
      </w:rPr>
    </w:lvl>
    <w:lvl w:ilvl="5" w:tplc="74683374">
      <w:numFmt w:val="bullet"/>
      <w:lvlText w:val="•"/>
      <w:lvlJc w:val="left"/>
      <w:pPr>
        <w:ind w:left="4447" w:hanging="720"/>
      </w:pPr>
      <w:rPr>
        <w:rFonts w:hint="default"/>
        <w:lang w:val="en-US" w:eastAsia="en-US" w:bidi="ar-SA"/>
      </w:rPr>
    </w:lvl>
    <w:lvl w:ilvl="6" w:tplc="446EAA8C">
      <w:numFmt w:val="bullet"/>
      <w:lvlText w:val="•"/>
      <w:lvlJc w:val="left"/>
      <w:pPr>
        <w:ind w:left="5189" w:hanging="720"/>
      </w:pPr>
      <w:rPr>
        <w:rFonts w:hint="default"/>
        <w:lang w:val="en-US" w:eastAsia="en-US" w:bidi="ar-SA"/>
      </w:rPr>
    </w:lvl>
    <w:lvl w:ilvl="7" w:tplc="4FC0D168">
      <w:numFmt w:val="bullet"/>
      <w:lvlText w:val="•"/>
      <w:lvlJc w:val="left"/>
      <w:pPr>
        <w:ind w:left="5930" w:hanging="720"/>
      </w:pPr>
      <w:rPr>
        <w:rFonts w:hint="default"/>
        <w:lang w:val="en-US" w:eastAsia="en-US" w:bidi="ar-SA"/>
      </w:rPr>
    </w:lvl>
    <w:lvl w:ilvl="8" w:tplc="440C0F10">
      <w:numFmt w:val="bullet"/>
      <w:lvlText w:val="•"/>
      <w:lvlJc w:val="left"/>
      <w:pPr>
        <w:ind w:left="6672" w:hanging="720"/>
      </w:pPr>
      <w:rPr>
        <w:rFonts w:hint="default"/>
        <w:lang w:val="en-US" w:eastAsia="en-US" w:bidi="ar-SA"/>
      </w:rPr>
    </w:lvl>
  </w:abstractNum>
  <w:num w:numId="1" w16cid:durableId="218901038">
    <w:abstractNumId w:val="1"/>
  </w:num>
  <w:num w:numId="2" w16cid:durableId="3109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19B1"/>
    <w:rsid w:val="0000004B"/>
    <w:rsid w:val="00022B9F"/>
    <w:rsid w:val="00045200"/>
    <w:rsid w:val="00045EA6"/>
    <w:rsid w:val="000A28A5"/>
    <w:rsid w:val="000C2D94"/>
    <w:rsid w:val="000F3845"/>
    <w:rsid w:val="000F71F0"/>
    <w:rsid w:val="00170DB3"/>
    <w:rsid w:val="00183D47"/>
    <w:rsid w:val="001C2E9A"/>
    <w:rsid w:val="001D11BA"/>
    <w:rsid w:val="00252D36"/>
    <w:rsid w:val="00254044"/>
    <w:rsid w:val="00272A34"/>
    <w:rsid w:val="00274CD7"/>
    <w:rsid w:val="002A1314"/>
    <w:rsid w:val="002A1F65"/>
    <w:rsid w:val="002F0276"/>
    <w:rsid w:val="003F6116"/>
    <w:rsid w:val="004445AA"/>
    <w:rsid w:val="004466DB"/>
    <w:rsid w:val="004A6F03"/>
    <w:rsid w:val="004E0894"/>
    <w:rsid w:val="004F15EA"/>
    <w:rsid w:val="00515C6F"/>
    <w:rsid w:val="00521576"/>
    <w:rsid w:val="00563D19"/>
    <w:rsid w:val="00564864"/>
    <w:rsid w:val="005947A8"/>
    <w:rsid w:val="005B6A7D"/>
    <w:rsid w:val="006173C3"/>
    <w:rsid w:val="0063548B"/>
    <w:rsid w:val="00653EB9"/>
    <w:rsid w:val="00654A3E"/>
    <w:rsid w:val="0067093A"/>
    <w:rsid w:val="00696194"/>
    <w:rsid w:val="006F2A4E"/>
    <w:rsid w:val="0070136D"/>
    <w:rsid w:val="00714A0C"/>
    <w:rsid w:val="00767D1A"/>
    <w:rsid w:val="00782554"/>
    <w:rsid w:val="00783D99"/>
    <w:rsid w:val="00787851"/>
    <w:rsid w:val="007E443C"/>
    <w:rsid w:val="007F137C"/>
    <w:rsid w:val="0081330D"/>
    <w:rsid w:val="0089557D"/>
    <w:rsid w:val="008969AF"/>
    <w:rsid w:val="008C6E3D"/>
    <w:rsid w:val="008D4CD4"/>
    <w:rsid w:val="008D7710"/>
    <w:rsid w:val="008E0A69"/>
    <w:rsid w:val="00904B04"/>
    <w:rsid w:val="009239D5"/>
    <w:rsid w:val="0092401F"/>
    <w:rsid w:val="00986D84"/>
    <w:rsid w:val="00A52400"/>
    <w:rsid w:val="00A874FB"/>
    <w:rsid w:val="00A94046"/>
    <w:rsid w:val="00AC22D3"/>
    <w:rsid w:val="00B362D6"/>
    <w:rsid w:val="00B519B1"/>
    <w:rsid w:val="00B723D4"/>
    <w:rsid w:val="00BC17AB"/>
    <w:rsid w:val="00BF5507"/>
    <w:rsid w:val="00C20BF6"/>
    <w:rsid w:val="00CB17BB"/>
    <w:rsid w:val="00CF0281"/>
    <w:rsid w:val="00D379D4"/>
    <w:rsid w:val="00D530AF"/>
    <w:rsid w:val="00D55016"/>
    <w:rsid w:val="00DD1181"/>
    <w:rsid w:val="00DD6659"/>
    <w:rsid w:val="00E070F0"/>
    <w:rsid w:val="00E13848"/>
    <w:rsid w:val="00E16BC2"/>
    <w:rsid w:val="00E22CD7"/>
    <w:rsid w:val="00E9497A"/>
    <w:rsid w:val="00F1457C"/>
    <w:rsid w:val="00F506F6"/>
    <w:rsid w:val="00F915E7"/>
    <w:rsid w:val="00FC219E"/>
    <w:rsid w:val="00FE1738"/>
    <w:rsid w:val="0315183B"/>
    <w:rsid w:val="244821A0"/>
    <w:rsid w:val="2C25A71D"/>
    <w:rsid w:val="46394E5B"/>
    <w:rsid w:val="4AE960BA"/>
    <w:rsid w:val="506CCCD1"/>
    <w:rsid w:val="51379EB9"/>
    <w:rsid w:val="56AB3A51"/>
    <w:rsid w:val="59FA86BA"/>
    <w:rsid w:val="636E9ED4"/>
    <w:rsid w:val="6A993AAA"/>
    <w:rsid w:val="74407E89"/>
    <w:rsid w:val="75DC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CF0B"/>
  <w15:docId w15:val="{ADA97387-6D8C-44AB-960D-EDA33EE0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2113" w:right="740" w:firstLine="159"/>
    </w:pPr>
    <w:rPr>
      <w:b/>
      <w:bCs/>
      <w:sz w:val="24"/>
      <w:szCs w:val="24"/>
    </w:rPr>
  </w:style>
  <w:style w:type="paragraph" w:styleId="ListParagraph">
    <w:name w:val="List Paragraph"/>
    <w:basedOn w:val="Normal"/>
    <w:uiPriority w:val="1"/>
    <w:qFormat/>
    <w:pPr>
      <w:ind w:left="100"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548B"/>
    <w:pPr>
      <w:tabs>
        <w:tab w:val="center" w:pos="4680"/>
        <w:tab w:val="right" w:pos="9360"/>
      </w:tabs>
    </w:pPr>
  </w:style>
  <w:style w:type="character" w:customStyle="1" w:styleId="HeaderChar">
    <w:name w:val="Header Char"/>
    <w:basedOn w:val="DefaultParagraphFont"/>
    <w:link w:val="Header"/>
    <w:uiPriority w:val="99"/>
    <w:rsid w:val="0063548B"/>
    <w:rPr>
      <w:rFonts w:ascii="Times New Roman" w:eastAsia="Times New Roman" w:hAnsi="Times New Roman" w:cs="Times New Roman"/>
    </w:rPr>
  </w:style>
  <w:style w:type="paragraph" w:styleId="Footer">
    <w:name w:val="footer"/>
    <w:basedOn w:val="Normal"/>
    <w:link w:val="FooterChar"/>
    <w:uiPriority w:val="99"/>
    <w:unhideWhenUsed/>
    <w:rsid w:val="0063548B"/>
    <w:pPr>
      <w:tabs>
        <w:tab w:val="center" w:pos="4680"/>
        <w:tab w:val="right" w:pos="9360"/>
      </w:tabs>
    </w:pPr>
  </w:style>
  <w:style w:type="character" w:customStyle="1" w:styleId="FooterChar">
    <w:name w:val="Footer Char"/>
    <w:basedOn w:val="DefaultParagraphFont"/>
    <w:link w:val="Footer"/>
    <w:uiPriority w:val="99"/>
    <w:rsid w:val="0063548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A28A5"/>
    <w:rPr>
      <w:sz w:val="20"/>
      <w:szCs w:val="20"/>
    </w:rPr>
  </w:style>
  <w:style w:type="character" w:customStyle="1" w:styleId="FootnoteTextChar">
    <w:name w:val="Footnote Text Char"/>
    <w:basedOn w:val="DefaultParagraphFont"/>
    <w:link w:val="FootnoteText"/>
    <w:uiPriority w:val="99"/>
    <w:semiHidden/>
    <w:rsid w:val="000A28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8A5"/>
    <w:rPr>
      <w:vertAlign w:val="superscript"/>
    </w:rPr>
  </w:style>
  <w:style w:type="character" w:styleId="Hyperlink">
    <w:name w:val="Hyperlink"/>
    <w:basedOn w:val="DefaultParagraphFont"/>
    <w:uiPriority w:val="99"/>
    <w:unhideWhenUsed/>
    <w:rsid w:val="00AC22D3"/>
    <w:rPr>
      <w:color w:val="0000FF"/>
      <w:u w:val="single"/>
    </w:rPr>
  </w:style>
  <w:style w:type="character" w:styleId="UnresolvedMention">
    <w:name w:val="Unresolved Mention"/>
    <w:basedOn w:val="DefaultParagraphFont"/>
    <w:uiPriority w:val="99"/>
    <w:semiHidden/>
    <w:unhideWhenUsed/>
    <w:rsid w:val="00FE1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flcourts18.org/judge-jacobus-policies-page/" TargetMode="External"/><Relationship Id="rId2" Type="http://schemas.openxmlformats.org/officeDocument/2006/relationships/hyperlink" Target="http://www.fjc.gov/sites/default/files/2015/SciMan3D01.pdf" TargetMode="External"/><Relationship Id="rId1" Type="http://schemas.openxmlformats.org/officeDocument/2006/relationships/hyperlink" Target="http://www.fjc.gov/sites/default/files/2015/SciMan3D01.pdf" TargetMode="External"/><Relationship Id="rId6" Type="http://schemas.openxmlformats.org/officeDocument/2006/relationships/hyperlink" Target="https://flcourts18.org/judge-jacobus-policies-page/" TargetMode="External"/><Relationship Id="rId5" Type="http://schemas.openxmlformats.org/officeDocument/2006/relationships/hyperlink" Target="https://flcourts18.org/judge-jacobus-policies-page/" TargetMode="External"/><Relationship Id="rId4" Type="http://schemas.openxmlformats.org/officeDocument/2006/relationships/hyperlink" Target="https://flcourts18.org/judge-jacobus-polici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BB82CD-15CB-4D50-AD67-AA7D41B53BAF}">
  <ds:schemaRefs>
    <ds:schemaRef ds:uri="http://schemas.microsoft.com/sharepoint/v3/contenttype/forms"/>
  </ds:schemaRefs>
</ds:datastoreItem>
</file>

<file path=customXml/itemProps2.xml><?xml version="1.0" encoding="utf-8"?>
<ds:datastoreItem xmlns:ds="http://schemas.openxmlformats.org/officeDocument/2006/customXml" ds:itemID="{F01A5DD8-288F-4811-873E-4FFC9BD36782}">
  <ds:schemaRefs>
    <ds:schemaRef ds:uri="http://schemas.openxmlformats.org/officeDocument/2006/bibliography"/>
  </ds:schemaRefs>
</ds:datastoreItem>
</file>

<file path=customXml/itemProps3.xml><?xml version="1.0" encoding="utf-8"?>
<ds:datastoreItem xmlns:ds="http://schemas.openxmlformats.org/officeDocument/2006/customXml" ds:itemID="{E484AC9D-B026-4A49-AB7C-93D0A9FE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BC7EC-6D4A-4A6B-92A4-895C20052A1C}">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1816</Words>
  <Characters>9590</Characters>
  <Application>Microsoft Office Word</Application>
  <DocSecurity>0</DocSecurity>
  <Lines>233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Tracy MacGregor</cp:lastModifiedBy>
  <cp:revision>88</cp:revision>
  <dcterms:created xsi:type="dcterms:W3CDTF">2023-03-31T14:26:00Z</dcterms:created>
  <dcterms:modified xsi:type="dcterms:W3CDTF">2026-02-19T19:14:00Z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Word 2010</vt:lpwstr>
  </property>
  <property fmtid="{D5CDD505-2E9C-101B-9397-08002B2CF9AE}" pid="4" name="LastSaved">
    <vt:filetime>2023-03-31T00:00:00Z</vt:filetime>
  </property>
  <property fmtid="{D5CDD505-2E9C-101B-9397-08002B2CF9AE}" pid="5" name="Producer">
    <vt:lpwstr>Microsoft® Word 2010</vt:lpwstr>
  </property>
  <property fmtid="{D5CDD505-2E9C-101B-9397-08002B2CF9AE}" pid="6" name="ContentTypeId">
    <vt:lpwstr>0x01010059BFB90140E9BF42AD09341FE29C5CFE</vt:lpwstr>
  </property>
  <property fmtid="{D5CDD505-2E9C-101B-9397-08002B2CF9AE}" pid="7" name="MediaServiceImageTags">
    <vt:lpwstr/>
  </property>
  <property fmtid="{D5CDD505-2E9C-101B-9397-08002B2CF9AE}" pid="8" name="GrammarlyDocumentId">
    <vt:lpwstr>a6f939ed-62da-4352-b2d8-be87f5265fcb</vt:lpwstr>
  </property>
</Properties>
</file>